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90A" w:rsidRDefault="00BF790A" w:rsidP="00BF790A">
      <w:pPr>
        <w:ind w:left="360"/>
        <w:jc w:val="center"/>
        <w:rPr>
          <w:rFonts w:ascii="Times New Roman" w:hAnsi="Times New Roman" w:cs="Times New Roman"/>
          <w:b/>
          <w:sz w:val="24"/>
          <w:szCs w:val="24"/>
        </w:rPr>
      </w:pPr>
      <w:r>
        <w:rPr>
          <w:rFonts w:ascii="Times New Roman" w:hAnsi="Times New Roman" w:cs="Times New Roman"/>
          <w:b/>
          <w:sz w:val="24"/>
          <w:szCs w:val="24"/>
        </w:rPr>
        <w:t>UNIVERSIDAD CENTRAL DEL ECUADOR</w:t>
      </w:r>
    </w:p>
    <w:p w:rsidR="00BF790A" w:rsidRDefault="00BF790A" w:rsidP="00BF790A">
      <w:pPr>
        <w:ind w:left="360"/>
        <w:jc w:val="center"/>
        <w:rPr>
          <w:rFonts w:ascii="Times New Roman" w:hAnsi="Times New Roman" w:cs="Times New Roman"/>
          <w:b/>
          <w:sz w:val="24"/>
          <w:szCs w:val="24"/>
        </w:rPr>
      </w:pPr>
      <w:r>
        <w:rPr>
          <w:rFonts w:ascii="Times New Roman" w:hAnsi="Times New Roman" w:cs="Times New Roman"/>
          <w:b/>
          <w:sz w:val="24"/>
          <w:szCs w:val="24"/>
        </w:rPr>
        <w:t>MAESTRÌA EN COMUNICACIÓN AUDIOVISUAL</w:t>
      </w:r>
    </w:p>
    <w:p w:rsidR="00BF790A" w:rsidRDefault="00BF790A" w:rsidP="00BF790A">
      <w:pPr>
        <w:spacing w:after="0"/>
        <w:ind w:left="360"/>
        <w:rPr>
          <w:rFonts w:ascii="Times New Roman" w:hAnsi="Times New Roman" w:cs="Times New Roman"/>
          <w:b/>
          <w:sz w:val="24"/>
          <w:szCs w:val="24"/>
        </w:rPr>
      </w:pPr>
      <w:r>
        <w:rPr>
          <w:rFonts w:ascii="Times New Roman" w:hAnsi="Times New Roman" w:cs="Times New Roman"/>
          <w:b/>
          <w:sz w:val="24"/>
          <w:szCs w:val="24"/>
        </w:rPr>
        <w:t>INTEGRANTES:</w:t>
      </w:r>
    </w:p>
    <w:p w:rsidR="00BF790A" w:rsidRPr="00BF790A" w:rsidRDefault="00BF790A" w:rsidP="00BF790A">
      <w:pPr>
        <w:pStyle w:val="Prrafodelista"/>
        <w:numPr>
          <w:ilvl w:val="0"/>
          <w:numId w:val="28"/>
        </w:numPr>
        <w:spacing w:after="0"/>
        <w:rPr>
          <w:rFonts w:ascii="Times New Roman" w:hAnsi="Times New Roman" w:cs="Times New Roman"/>
          <w:bCs/>
          <w:sz w:val="24"/>
          <w:szCs w:val="24"/>
        </w:rPr>
      </w:pPr>
      <w:r w:rsidRPr="00BF790A">
        <w:rPr>
          <w:rFonts w:ascii="Times New Roman" w:hAnsi="Times New Roman" w:cs="Times New Roman"/>
          <w:bCs/>
          <w:sz w:val="24"/>
          <w:szCs w:val="24"/>
        </w:rPr>
        <w:t>MICHELLE GUDIÑO</w:t>
      </w:r>
    </w:p>
    <w:p w:rsidR="00BF790A" w:rsidRPr="00BF790A" w:rsidRDefault="00BF790A" w:rsidP="00BF790A">
      <w:pPr>
        <w:pStyle w:val="Prrafodelista"/>
        <w:numPr>
          <w:ilvl w:val="0"/>
          <w:numId w:val="28"/>
        </w:numPr>
        <w:spacing w:after="0"/>
        <w:rPr>
          <w:rFonts w:ascii="Times New Roman" w:hAnsi="Times New Roman" w:cs="Times New Roman"/>
          <w:bCs/>
          <w:sz w:val="24"/>
          <w:szCs w:val="24"/>
        </w:rPr>
      </w:pPr>
      <w:r w:rsidRPr="00BF790A">
        <w:rPr>
          <w:rFonts w:ascii="Times New Roman" w:hAnsi="Times New Roman" w:cs="Times New Roman"/>
          <w:bCs/>
          <w:sz w:val="24"/>
          <w:szCs w:val="24"/>
        </w:rPr>
        <w:t>JOHAN COYAGO</w:t>
      </w:r>
    </w:p>
    <w:p w:rsidR="00BF790A" w:rsidRPr="00BF790A" w:rsidRDefault="00BF790A" w:rsidP="00BF790A">
      <w:pPr>
        <w:pStyle w:val="Prrafodelista"/>
        <w:numPr>
          <w:ilvl w:val="0"/>
          <w:numId w:val="28"/>
        </w:numPr>
        <w:spacing w:after="0"/>
        <w:rPr>
          <w:rFonts w:ascii="Times New Roman" w:hAnsi="Times New Roman" w:cs="Times New Roman"/>
          <w:bCs/>
          <w:sz w:val="24"/>
          <w:szCs w:val="24"/>
        </w:rPr>
      </w:pPr>
      <w:r w:rsidRPr="00BF790A">
        <w:rPr>
          <w:rFonts w:ascii="Times New Roman" w:hAnsi="Times New Roman" w:cs="Times New Roman"/>
          <w:bCs/>
          <w:sz w:val="24"/>
          <w:szCs w:val="24"/>
        </w:rPr>
        <w:t>DANILO ROMERO</w:t>
      </w:r>
    </w:p>
    <w:p w:rsidR="00BF790A" w:rsidRPr="00BF790A" w:rsidRDefault="00BF790A" w:rsidP="00BF790A">
      <w:pPr>
        <w:pStyle w:val="Prrafodelista"/>
        <w:numPr>
          <w:ilvl w:val="0"/>
          <w:numId w:val="28"/>
        </w:numPr>
        <w:spacing w:after="0"/>
        <w:rPr>
          <w:rFonts w:ascii="Times New Roman" w:hAnsi="Times New Roman" w:cs="Times New Roman"/>
          <w:bCs/>
          <w:sz w:val="24"/>
          <w:szCs w:val="24"/>
        </w:rPr>
      </w:pPr>
      <w:r w:rsidRPr="00BF790A">
        <w:rPr>
          <w:rFonts w:ascii="Times New Roman" w:hAnsi="Times New Roman" w:cs="Times New Roman"/>
          <w:bCs/>
          <w:sz w:val="24"/>
          <w:szCs w:val="24"/>
        </w:rPr>
        <w:t>CARLA VARELA</w:t>
      </w:r>
    </w:p>
    <w:p w:rsidR="00BF790A" w:rsidRDefault="00BF790A" w:rsidP="00BF790A">
      <w:pPr>
        <w:spacing w:after="0"/>
        <w:ind w:left="360"/>
        <w:rPr>
          <w:rFonts w:ascii="Times New Roman" w:hAnsi="Times New Roman" w:cs="Times New Roman"/>
          <w:b/>
          <w:sz w:val="24"/>
          <w:szCs w:val="24"/>
        </w:rPr>
      </w:pPr>
    </w:p>
    <w:p w:rsidR="00BF790A" w:rsidRDefault="00BF790A" w:rsidP="00BF790A">
      <w:pPr>
        <w:ind w:left="360"/>
        <w:jc w:val="center"/>
        <w:rPr>
          <w:rFonts w:ascii="Times New Roman" w:hAnsi="Times New Roman" w:cs="Times New Roman"/>
          <w:b/>
          <w:sz w:val="24"/>
          <w:szCs w:val="24"/>
        </w:rPr>
      </w:pPr>
      <w:r>
        <w:rPr>
          <w:rFonts w:ascii="Times New Roman" w:hAnsi="Times New Roman" w:cs="Times New Roman"/>
          <w:b/>
          <w:sz w:val="24"/>
          <w:szCs w:val="24"/>
        </w:rPr>
        <w:t>IDEAS PRINCIPALES TEXTO “</w:t>
      </w:r>
      <w:r w:rsidRPr="00BF790A">
        <w:rPr>
          <w:rFonts w:ascii="Times New Roman" w:hAnsi="Times New Roman" w:cs="Times New Roman"/>
          <w:b/>
          <w:sz w:val="24"/>
          <w:szCs w:val="24"/>
        </w:rPr>
        <w:t>HISTORIA DE LA SOCIEDAD</w:t>
      </w:r>
      <w:r>
        <w:rPr>
          <w:rFonts w:ascii="Times New Roman" w:hAnsi="Times New Roman" w:cs="Times New Roman"/>
          <w:b/>
          <w:sz w:val="24"/>
          <w:szCs w:val="24"/>
        </w:rPr>
        <w:t xml:space="preserve">                                    </w:t>
      </w:r>
      <w:r w:rsidRPr="00BF790A">
        <w:rPr>
          <w:rFonts w:ascii="Times New Roman" w:hAnsi="Times New Roman" w:cs="Times New Roman"/>
          <w:b/>
          <w:sz w:val="24"/>
          <w:szCs w:val="24"/>
        </w:rPr>
        <w:t>DE LA INFORMACIÓN</w:t>
      </w:r>
      <w:r>
        <w:rPr>
          <w:rFonts w:ascii="Times New Roman" w:hAnsi="Times New Roman" w:cs="Times New Roman"/>
          <w:b/>
          <w:sz w:val="24"/>
          <w:szCs w:val="24"/>
        </w:rPr>
        <w:t xml:space="preserve">” </w:t>
      </w:r>
      <w:r w:rsidRPr="00BF790A">
        <w:rPr>
          <w:rFonts w:ascii="Times New Roman" w:hAnsi="Times New Roman" w:cs="Times New Roman"/>
          <w:b/>
          <w:sz w:val="24"/>
          <w:szCs w:val="24"/>
        </w:rPr>
        <w:t>ARMAND MATTELART</w:t>
      </w:r>
    </w:p>
    <w:p w:rsidR="00835EAC" w:rsidRPr="00BF790A" w:rsidRDefault="00835EAC" w:rsidP="00BF790A">
      <w:pPr>
        <w:pStyle w:val="Prrafodelista"/>
        <w:numPr>
          <w:ilvl w:val="0"/>
          <w:numId w:val="27"/>
        </w:numPr>
        <w:rPr>
          <w:rFonts w:ascii="Times New Roman" w:hAnsi="Times New Roman" w:cs="Times New Roman"/>
          <w:b/>
          <w:sz w:val="24"/>
          <w:szCs w:val="24"/>
        </w:rPr>
      </w:pPr>
      <w:r w:rsidRPr="00BF790A">
        <w:rPr>
          <w:rFonts w:ascii="Times New Roman" w:hAnsi="Times New Roman" w:cs="Times New Roman"/>
          <w:b/>
          <w:sz w:val="24"/>
          <w:szCs w:val="24"/>
        </w:rPr>
        <w:t>El culto del número</w:t>
      </w:r>
    </w:p>
    <w:p w:rsidR="00835EAC" w:rsidRPr="000E6242" w:rsidRDefault="00835EAC" w:rsidP="00835EAC">
      <w:pPr>
        <w:pStyle w:val="Prrafodelista"/>
        <w:numPr>
          <w:ilvl w:val="0"/>
          <w:numId w:val="4"/>
        </w:numPr>
        <w:jc w:val="both"/>
        <w:rPr>
          <w:rFonts w:ascii="Times New Roman" w:hAnsi="Times New Roman" w:cs="Times New Roman"/>
          <w:sz w:val="24"/>
          <w:szCs w:val="24"/>
        </w:rPr>
      </w:pPr>
      <w:r w:rsidRPr="000E6242">
        <w:rPr>
          <w:rFonts w:ascii="Times New Roman" w:hAnsi="Times New Roman" w:cs="Times New Roman"/>
          <w:sz w:val="24"/>
          <w:szCs w:val="24"/>
        </w:rPr>
        <w:t>«Si hubiese que consagrar a alguien como "santo patrón" de la cibernética, indudablemente habría que pensar en Gottfried Wilhelm Leibniz (1646-1716).»</w:t>
      </w:r>
    </w:p>
    <w:p w:rsidR="00835EAC" w:rsidRPr="000E6242" w:rsidRDefault="00835EAC" w:rsidP="00835EAC">
      <w:pPr>
        <w:pStyle w:val="Prrafodelista"/>
        <w:numPr>
          <w:ilvl w:val="0"/>
          <w:numId w:val="4"/>
        </w:numPr>
        <w:jc w:val="both"/>
        <w:rPr>
          <w:rFonts w:ascii="Times New Roman" w:hAnsi="Times New Roman" w:cs="Times New Roman"/>
          <w:sz w:val="24"/>
          <w:szCs w:val="24"/>
        </w:rPr>
      </w:pPr>
      <w:r w:rsidRPr="000E6242">
        <w:rPr>
          <w:rFonts w:ascii="Times New Roman" w:hAnsi="Times New Roman" w:cs="Times New Roman"/>
          <w:sz w:val="24"/>
          <w:szCs w:val="24"/>
        </w:rPr>
        <w:t>El pensamiento puede manifestarse en el interior de una máquina. Leibniz se aproxima a la automatización de la razón, poniendo a punto una aritmética binaria y un calculus ratiocinator o «máquina aritmética»</w:t>
      </w:r>
    </w:p>
    <w:p w:rsidR="00835EAC" w:rsidRPr="000E6242" w:rsidRDefault="00835EAC" w:rsidP="00835EAC">
      <w:pPr>
        <w:pStyle w:val="Prrafodelista"/>
        <w:numPr>
          <w:ilvl w:val="0"/>
          <w:numId w:val="4"/>
        </w:numPr>
        <w:jc w:val="both"/>
        <w:rPr>
          <w:rFonts w:ascii="Times New Roman" w:hAnsi="Times New Roman" w:cs="Times New Roman"/>
          <w:sz w:val="24"/>
          <w:szCs w:val="24"/>
        </w:rPr>
      </w:pPr>
      <w:r w:rsidRPr="000E6242">
        <w:rPr>
          <w:rFonts w:ascii="Times New Roman" w:hAnsi="Times New Roman" w:cs="Times New Roman"/>
          <w:sz w:val="24"/>
          <w:szCs w:val="24"/>
        </w:rPr>
        <w:t>La problemática de la ciencia de los lenguajes secretos será un dato recurrente de la historia que conduce hasta las máquinas inteligentes del siglo xx.</w:t>
      </w:r>
    </w:p>
    <w:p w:rsidR="00835EAC" w:rsidRPr="000E6242" w:rsidRDefault="00835EAC" w:rsidP="00835EAC">
      <w:pPr>
        <w:pStyle w:val="Prrafodelista"/>
        <w:numPr>
          <w:ilvl w:val="0"/>
          <w:numId w:val="4"/>
        </w:numPr>
        <w:jc w:val="both"/>
        <w:rPr>
          <w:rFonts w:ascii="Times New Roman" w:hAnsi="Times New Roman" w:cs="Times New Roman"/>
          <w:sz w:val="24"/>
          <w:szCs w:val="24"/>
        </w:rPr>
      </w:pPr>
      <w:r w:rsidRPr="000E6242">
        <w:rPr>
          <w:rFonts w:ascii="Times New Roman" w:hAnsi="Times New Roman" w:cs="Times New Roman"/>
          <w:sz w:val="24"/>
          <w:szCs w:val="24"/>
        </w:rPr>
        <w:t>La escritura algorítmica. Formulada en 1854 por e l irlandés George Boole, permitirá, un siglo más tarde, la construcción de la informática como disciplina autónoma.</w:t>
      </w:r>
    </w:p>
    <w:p w:rsidR="00835EAC" w:rsidRPr="000E6242" w:rsidRDefault="00835EAC" w:rsidP="00835EAC">
      <w:pPr>
        <w:pStyle w:val="Prrafodelista"/>
        <w:numPr>
          <w:ilvl w:val="0"/>
          <w:numId w:val="4"/>
        </w:numPr>
        <w:jc w:val="both"/>
        <w:rPr>
          <w:rFonts w:ascii="Times New Roman" w:hAnsi="Times New Roman" w:cs="Times New Roman"/>
          <w:sz w:val="24"/>
          <w:szCs w:val="24"/>
        </w:rPr>
      </w:pPr>
      <w:r w:rsidRPr="000E6242">
        <w:rPr>
          <w:rFonts w:ascii="Times New Roman" w:hAnsi="Times New Roman" w:cs="Times New Roman"/>
          <w:sz w:val="24"/>
          <w:szCs w:val="24"/>
        </w:rPr>
        <w:t>El lenguaje de signos es el único que puede resolver las imperfecciones de las lenguas naturales que son otras tantas fuentes de discordia y de obstáculos para la comunicación.</w:t>
      </w:r>
    </w:p>
    <w:p w:rsidR="00835EAC" w:rsidRPr="00BF790A" w:rsidRDefault="00835EAC" w:rsidP="00BF790A">
      <w:pPr>
        <w:pStyle w:val="Prrafodelista"/>
        <w:numPr>
          <w:ilvl w:val="0"/>
          <w:numId w:val="4"/>
        </w:numPr>
        <w:jc w:val="both"/>
        <w:rPr>
          <w:rFonts w:ascii="Times New Roman" w:hAnsi="Times New Roman" w:cs="Times New Roman"/>
          <w:sz w:val="24"/>
          <w:szCs w:val="24"/>
        </w:rPr>
      </w:pPr>
      <w:r w:rsidRPr="000E6242">
        <w:rPr>
          <w:rFonts w:ascii="Times New Roman" w:hAnsi="Times New Roman" w:cs="Times New Roman"/>
          <w:sz w:val="24"/>
          <w:szCs w:val="24"/>
        </w:rPr>
        <w:t>El «pensamiento del cuadro» permite efectuar entre los seres una «puesta en orden» y una «repartición en clases». La taxonomía que propone conduce a palabras y categorías «sin hogar ni lugar».</w:t>
      </w:r>
      <w:r w:rsidR="00BF790A">
        <w:rPr>
          <w:rFonts w:ascii="Times New Roman" w:hAnsi="Times New Roman" w:cs="Times New Roman"/>
          <w:sz w:val="24"/>
          <w:szCs w:val="24"/>
        </w:rPr>
        <w:t xml:space="preserve"> </w:t>
      </w:r>
      <w:r w:rsidRPr="00BF790A">
        <w:rPr>
          <w:rFonts w:ascii="Times New Roman" w:hAnsi="Times New Roman" w:cs="Times New Roman"/>
          <w:sz w:val="24"/>
          <w:szCs w:val="24"/>
        </w:rPr>
        <w:t>El cálculo de probabilidades, cuyas bases sientan Pascal y Huyghens hacia 1660 se convierte en una nueva forma de objetivación de las sociedades humanas</w:t>
      </w:r>
    </w:p>
    <w:p w:rsidR="000E6242" w:rsidRPr="000E6242" w:rsidRDefault="000E6242" w:rsidP="000E6242">
      <w:pPr>
        <w:pStyle w:val="Prrafodelista"/>
        <w:jc w:val="both"/>
        <w:rPr>
          <w:rFonts w:ascii="Times New Roman" w:hAnsi="Times New Roman" w:cs="Times New Roman"/>
          <w:sz w:val="24"/>
          <w:szCs w:val="24"/>
        </w:rPr>
      </w:pPr>
    </w:p>
    <w:p w:rsidR="00835EAC" w:rsidRPr="000E6242" w:rsidRDefault="00835EAC" w:rsidP="003D5EB8">
      <w:pPr>
        <w:pStyle w:val="Prrafodelista"/>
        <w:numPr>
          <w:ilvl w:val="0"/>
          <w:numId w:val="1"/>
        </w:numPr>
        <w:rPr>
          <w:rFonts w:ascii="Times New Roman" w:hAnsi="Times New Roman" w:cs="Times New Roman"/>
          <w:b/>
          <w:sz w:val="24"/>
          <w:szCs w:val="24"/>
        </w:rPr>
      </w:pPr>
      <w:r w:rsidRPr="000E6242">
        <w:rPr>
          <w:rFonts w:ascii="Times New Roman" w:hAnsi="Times New Roman" w:cs="Times New Roman"/>
          <w:b/>
          <w:sz w:val="24"/>
          <w:szCs w:val="24"/>
        </w:rPr>
        <w:t>La gestión de la era industrial y científica</w:t>
      </w:r>
    </w:p>
    <w:p w:rsidR="00835EAC" w:rsidRPr="000E6242" w:rsidRDefault="00835EAC" w:rsidP="00835EAC">
      <w:pPr>
        <w:pStyle w:val="Prrafodelista"/>
        <w:numPr>
          <w:ilvl w:val="0"/>
          <w:numId w:val="3"/>
        </w:numPr>
        <w:jc w:val="both"/>
        <w:rPr>
          <w:rFonts w:ascii="Times New Roman" w:hAnsi="Times New Roman" w:cs="Times New Roman"/>
          <w:sz w:val="24"/>
          <w:szCs w:val="24"/>
        </w:rPr>
      </w:pPr>
      <w:r w:rsidRPr="000E6242">
        <w:rPr>
          <w:rFonts w:ascii="Times New Roman" w:hAnsi="Times New Roman" w:cs="Times New Roman"/>
          <w:sz w:val="24"/>
          <w:szCs w:val="24"/>
        </w:rPr>
        <w:t>La idea de que sólo es certeza lo que se puede enumerar impregna los modos de gobernar</w:t>
      </w:r>
    </w:p>
    <w:p w:rsidR="00835EAC" w:rsidRPr="000E6242" w:rsidRDefault="00835EAC" w:rsidP="00835EAC">
      <w:pPr>
        <w:pStyle w:val="Prrafodelista"/>
        <w:numPr>
          <w:ilvl w:val="0"/>
          <w:numId w:val="3"/>
        </w:numPr>
        <w:jc w:val="both"/>
        <w:rPr>
          <w:rFonts w:ascii="Times New Roman" w:hAnsi="Times New Roman" w:cs="Times New Roman"/>
          <w:sz w:val="24"/>
          <w:szCs w:val="24"/>
        </w:rPr>
      </w:pPr>
      <w:r w:rsidRPr="000E6242">
        <w:rPr>
          <w:rFonts w:ascii="Times New Roman" w:hAnsi="Times New Roman" w:cs="Times New Roman"/>
          <w:sz w:val="24"/>
          <w:szCs w:val="24"/>
        </w:rPr>
        <w:t>La única forma de salir de la crisis de civilización que padece la sociedad: tratarla como una gran industria</w:t>
      </w:r>
    </w:p>
    <w:p w:rsidR="00835EAC" w:rsidRPr="000E6242" w:rsidRDefault="00835EAC" w:rsidP="00835EAC">
      <w:pPr>
        <w:pStyle w:val="Prrafodelista"/>
        <w:numPr>
          <w:ilvl w:val="0"/>
          <w:numId w:val="3"/>
        </w:numPr>
        <w:jc w:val="both"/>
        <w:rPr>
          <w:rFonts w:ascii="Times New Roman" w:hAnsi="Times New Roman" w:cs="Times New Roman"/>
          <w:sz w:val="24"/>
          <w:szCs w:val="24"/>
        </w:rPr>
      </w:pPr>
      <w:r w:rsidRPr="000E6242">
        <w:rPr>
          <w:rFonts w:ascii="Times New Roman" w:hAnsi="Times New Roman" w:cs="Times New Roman"/>
          <w:sz w:val="24"/>
          <w:szCs w:val="24"/>
        </w:rPr>
        <w:t>El pensamiento fourierista acerca del individuo polivalente, la educación integral y la reconciliación del trabajo con el placer diseñará el horizonte de los futuros alternativos al modo de desarrollo utilitario.</w:t>
      </w:r>
    </w:p>
    <w:p w:rsidR="00835EAC" w:rsidRPr="000E6242" w:rsidRDefault="00835EAC" w:rsidP="00835EAC">
      <w:pPr>
        <w:pStyle w:val="Prrafodelista"/>
        <w:numPr>
          <w:ilvl w:val="0"/>
          <w:numId w:val="3"/>
        </w:numPr>
        <w:jc w:val="both"/>
        <w:rPr>
          <w:rFonts w:ascii="Times New Roman" w:hAnsi="Times New Roman" w:cs="Times New Roman"/>
          <w:sz w:val="24"/>
          <w:szCs w:val="24"/>
        </w:rPr>
      </w:pPr>
      <w:r w:rsidRPr="000E6242">
        <w:rPr>
          <w:rFonts w:ascii="Times New Roman" w:hAnsi="Times New Roman" w:cs="Times New Roman"/>
          <w:sz w:val="24"/>
          <w:szCs w:val="24"/>
        </w:rPr>
        <w:t>El concepto de democracia que de ella se desprende exalta el ideal del individuo libre de toda coacción: la libertad de cada cual para actuar a su antojo.</w:t>
      </w:r>
    </w:p>
    <w:p w:rsidR="00835EAC" w:rsidRPr="000E6242" w:rsidRDefault="00835EAC" w:rsidP="00835EAC">
      <w:pPr>
        <w:pStyle w:val="Prrafodelista"/>
        <w:numPr>
          <w:ilvl w:val="0"/>
          <w:numId w:val="3"/>
        </w:numPr>
        <w:jc w:val="both"/>
        <w:rPr>
          <w:rFonts w:ascii="Times New Roman" w:hAnsi="Times New Roman" w:cs="Times New Roman"/>
          <w:sz w:val="24"/>
          <w:szCs w:val="24"/>
        </w:rPr>
      </w:pPr>
      <w:r w:rsidRPr="000E6242">
        <w:rPr>
          <w:rFonts w:ascii="Times New Roman" w:hAnsi="Times New Roman" w:cs="Times New Roman"/>
          <w:sz w:val="24"/>
          <w:szCs w:val="24"/>
        </w:rPr>
        <w:t>La tecnología del riesgo, elaborada por las instituciones aseguradoras privadas se extrapola al conjunto del cuerpo social.</w:t>
      </w:r>
    </w:p>
    <w:p w:rsidR="00826671" w:rsidRPr="000E6242" w:rsidRDefault="00835EAC" w:rsidP="003D5EB8">
      <w:pPr>
        <w:pStyle w:val="Prrafodelista"/>
        <w:numPr>
          <w:ilvl w:val="0"/>
          <w:numId w:val="3"/>
        </w:numPr>
        <w:jc w:val="both"/>
        <w:rPr>
          <w:rFonts w:ascii="Times New Roman" w:hAnsi="Times New Roman" w:cs="Times New Roman"/>
          <w:sz w:val="24"/>
          <w:szCs w:val="24"/>
        </w:rPr>
      </w:pPr>
      <w:r w:rsidRPr="000E6242">
        <w:rPr>
          <w:rFonts w:ascii="Times New Roman" w:hAnsi="Times New Roman" w:cs="Times New Roman"/>
          <w:sz w:val="24"/>
          <w:szCs w:val="24"/>
        </w:rPr>
        <w:t>Los valores medios que la tecnología del riesgo permite extraer de la distribución d</w:t>
      </w:r>
      <w:r w:rsidR="00C56390" w:rsidRPr="000E6242">
        <w:rPr>
          <w:rFonts w:ascii="Times New Roman" w:hAnsi="Times New Roman" w:cs="Times New Roman"/>
          <w:sz w:val="24"/>
          <w:szCs w:val="24"/>
        </w:rPr>
        <w:t>e las series estadísticas (sobr</w:t>
      </w:r>
      <w:r w:rsidRPr="000E6242">
        <w:rPr>
          <w:rFonts w:ascii="Times New Roman" w:hAnsi="Times New Roman" w:cs="Times New Roman"/>
          <w:sz w:val="24"/>
          <w:szCs w:val="24"/>
        </w:rPr>
        <w:t>e movimientos de población, criminalidad, suicidio y otros «hechos sociales») se convierten en normas de gobierno.</w:t>
      </w:r>
    </w:p>
    <w:p w:rsidR="000E6242" w:rsidRPr="000E6242" w:rsidRDefault="003D5EB8" w:rsidP="000E6242">
      <w:pPr>
        <w:pStyle w:val="NormalWeb"/>
        <w:numPr>
          <w:ilvl w:val="0"/>
          <w:numId w:val="1"/>
        </w:numPr>
        <w:spacing w:before="0" w:beforeAutospacing="0" w:after="0" w:afterAutospacing="0"/>
        <w:jc w:val="both"/>
        <w:rPr>
          <w:b/>
          <w:bCs/>
        </w:rPr>
      </w:pPr>
      <w:r w:rsidRPr="000E6242">
        <w:rPr>
          <w:b/>
          <w:bCs/>
        </w:rPr>
        <w:lastRenderedPageBreak/>
        <w:t xml:space="preserve"> </w:t>
      </w:r>
      <w:r w:rsidRPr="000E6242">
        <w:rPr>
          <w:b/>
          <w:bCs/>
        </w:rPr>
        <w:t xml:space="preserve">La aparición de las maquinas informáticas </w:t>
      </w:r>
    </w:p>
    <w:p w:rsidR="000E6242" w:rsidRPr="000E6242" w:rsidRDefault="003D5EB8" w:rsidP="000E6242">
      <w:pPr>
        <w:pStyle w:val="NormalWeb"/>
        <w:numPr>
          <w:ilvl w:val="0"/>
          <w:numId w:val="24"/>
        </w:numPr>
        <w:spacing w:before="0" w:beforeAutospacing="0" w:after="0" w:afterAutospacing="0"/>
        <w:jc w:val="both"/>
        <w:rPr>
          <w:b/>
          <w:bCs/>
        </w:rPr>
      </w:pPr>
      <w:r w:rsidRPr="000E6242">
        <w:t xml:space="preserve">Inician su despegue en el transcurso de la Segunda Guerra Mundial </w:t>
      </w:r>
    </w:p>
    <w:p w:rsidR="000E6242" w:rsidRPr="000E6242" w:rsidRDefault="003D5EB8" w:rsidP="000E6242">
      <w:pPr>
        <w:pStyle w:val="NormalWeb"/>
        <w:numPr>
          <w:ilvl w:val="0"/>
          <w:numId w:val="24"/>
        </w:numPr>
        <w:spacing w:before="0" w:beforeAutospacing="0" w:after="0" w:afterAutospacing="0"/>
        <w:jc w:val="both"/>
        <w:rPr>
          <w:b/>
          <w:bCs/>
        </w:rPr>
      </w:pPr>
      <w:r w:rsidRPr="000E6242">
        <w:t xml:space="preserve">¿Hasta qué punto las lógicas del enfrentamiento planetario entre el Este y el Oeste configuran el marco geopolítico en el que se desarrolla la innovación técnica? ¿Cuáles son los términos del debate sobre la definición de la noción soberana de «información»? ¿Qué lugar ocupan las nuevas tecnologías de la memoria dentro de la historia de las civilizaciones? </w:t>
      </w:r>
    </w:p>
    <w:p w:rsidR="003D5EB8" w:rsidRPr="000E6242" w:rsidRDefault="003D5EB8" w:rsidP="000E6242">
      <w:pPr>
        <w:pStyle w:val="NormalWeb"/>
        <w:numPr>
          <w:ilvl w:val="0"/>
          <w:numId w:val="24"/>
        </w:numPr>
        <w:spacing w:before="0" w:beforeAutospacing="0" w:after="0" w:afterAutospacing="0"/>
        <w:jc w:val="both"/>
        <w:rPr>
          <w:b/>
          <w:bCs/>
        </w:rPr>
      </w:pPr>
      <w:r w:rsidRPr="000E6242">
        <w:rPr>
          <w:bCs/>
        </w:rPr>
        <w:t xml:space="preserve">El concepto de sobrecarga de información se concibe como un input de información en el sistema urbano, a un nivel que sobrepasa la posibilidad que tiene de procesarla eficaz- mente, es decir de traducirla a la hora de tomar una decisión, sin error excesivo, sin distorsión, sin demora (Meier, 1962). </w:t>
      </w:r>
    </w:p>
    <w:p w:rsidR="003D5EB8" w:rsidRPr="000E6242" w:rsidRDefault="003D5EB8" w:rsidP="000E6242">
      <w:pPr>
        <w:pStyle w:val="Prrafodelista"/>
        <w:numPr>
          <w:ilvl w:val="0"/>
          <w:numId w:val="18"/>
        </w:numPr>
        <w:jc w:val="both"/>
        <w:rPr>
          <w:rFonts w:ascii="Times New Roman" w:hAnsi="Times New Roman" w:cs="Times New Roman"/>
          <w:sz w:val="24"/>
          <w:szCs w:val="24"/>
          <w:lang w:eastAsia="es-ES_tradnl"/>
        </w:rPr>
      </w:pPr>
      <w:r w:rsidRPr="000E6242">
        <w:rPr>
          <w:rFonts w:ascii="Times New Roman" w:hAnsi="Times New Roman" w:cs="Times New Roman"/>
          <w:sz w:val="24"/>
          <w:szCs w:val="24"/>
          <w:lang w:eastAsia="es-ES_tradnl"/>
        </w:rPr>
        <w:t xml:space="preserve">Los productores de conocimiento o comunicadores se sitúan, en efecto, a diversos niveles: los transportadores, que entregan el mensaje sin cambiar nada; los transformadores, que cambian la forma los procesadores, que cambian forma y contenido, pero siguiendo únicamente procedimientos rutinarios de reajuste, combinaciones, cálculos (tal como un contable que prepara un balance); los </w:t>
      </w:r>
      <w:r w:rsidR="000E6242" w:rsidRPr="000E6242">
        <w:rPr>
          <w:rFonts w:ascii="Times New Roman" w:hAnsi="Times New Roman" w:cs="Times New Roman"/>
          <w:sz w:val="24"/>
          <w:szCs w:val="24"/>
          <w:lang w:eastAsia="es-ES_tradnl"/>
        </w:rPr>
        <w:t>intérpretes</w:t>
      </w:r>
      <w:r w:rsidRPr="000E6242">
        <w:rPr>
          <w:rFonts w:ascii="Times New Roman" w:hAnsi="Times New Roman" w:cs="Times New Roman"/>
          <w:sz w:val="24"/>
          <w:szCs w:val="24"/>
          <w:lang w:eastAsia="es-ES_tradnl"/>
        </w:rPr>
        <w:t xml:space="preserve">, que actúan sobre la forma y el contenido </w:t>
      </w:r>
    </w:p>
    <w:p w:rsidR="003D5EB8" w:rsidRPr="000E6242" w:rsidRDefault="003D5EB8" w:rsidP="000E6242">
      <w:pPr>
        <w:pStyle w:val="Prrafodelista"/>
        <w:numPr>
          <w:ilvl w:val="0"/>
          <w:numId w:val="18"/>
        </w:numPr>
        <w:jc w:val="both"/>
        <w:rPr>
          <w:rFonts w:ascii="Times New Roman" w:hAnsi="Times New Roman" w:cs="Times New Roman"/>
          <w:sz w:val="24"/>
          <w:szCs w:val="24"/>
          <w:lang w:eastAsia="es-ES_tradnl"/>
        </w:rPr>
      </w:pPr>
      <w:r w:rsidRPr="000E6242">
        <w:rPr>
          <w:rFonts w:ascii="Times New Roman" w:hAnsi="Times New Roman" w:cs="Times New Roman"/>
          <w:sz w:val="24"/>
          <w:szCs w:val="24"/>
          <w:lang w:eastAsia="es-ES_tradnl"/>
        </w:rPr>
        <w:t xml:space="preserve">Vista así́, la historia de la humanidad se divide en tres edades: la comunicación natural, oral y gestual, que moviliza todos los sentidos, edad del pensamiento mágico y del tribalismo; la edad de la tiranía de la visión, iniciada por la escritura alfabética y la imprenta, edad del racionalismo abstracto y del nacionalismo, y la edad de la transmisión electrónica que consagra el retorno de todo el teclado sensorial, edad de un nuevo tribalismo, en este caso planetario. </w:t>
      </w:r>
    </w:p>
    <w:p w:rsidR="003D5EB8" w:rsidRPr="000E6242" w:rsidRDefault="003D5EB8" w:rsidP="000E6242">
      <w:pPr>
        <w:pStyle w:val="Prrafodelista"/>
        <w:numPr>
          <w:ilvl w:val="0"/>
          <w:numId w:val="18"/>
        </w:numPr>
        <w:jc w:val="both"/>
        <w:rPr>
          <w:rFonts w:ascii="Times New Roman" w:hAnsi="Times New Roman" w:cs="Times New Roman"/>
          <w:sz w:val="24"/>
          <w:szCs w:val="24"/>
          <w:lang w:eastAsia="es-ES_tradnl"/>
        </w:rPr>
      </w:pPr>
      <w:r w:rsidRPr="000E6242">
        <w:rPr>
          <w:rFonts w:ascii="Times New Roman" w:hAnsi="Times New Roman" w:cs="Times New Roman"/>
          <w:sz w:val="24"/>
          <w:szCs w:val="24"/>
          <w:lang w:eastAsia="es-ES_tradnl"/>
        </w:rPr>
        <w:t xml:space="preserve">En su momento, André Leroi-Gourhan había presentido el obstáculo de cierto pensamiento civilizacional cuando manifestaba su desacuerdo con la visión, marcada por el signo de todos los apocalipsis, de Teilhard de Chardin: La humanidad puede seguir esperando el "punto omega" durante milenios y, como en el año 1000, tendrá́ que organizar la espera y seguir viviendo </w:t>
      </w:r>
    </w:p>
    <w:p w:rsidR="000E6242" w:rsidRPr="000E6242" w:rsidRDefault="000E6242" w:rsidP="000E6242">
      <w:pPr>
        <w:pStyle w:val="Prrafodelista"/>
        <w:jc w:val="both"/>
        <w:rPr>
          <w:rFonts w:ascii="Times New Roman" w:hAnsi="Times New Roman" w:cs="Times New Roman"/>
          <w:sz w:val="24"/>
          <w:szCs w:val="24"/>
          <w:lang w:eastAsia="es-ES_tradnl"/>
        </w:rPr>
      </w:pPr>
    </w:p>
    <w:p w:rsidR="000E6242" w:rsidRPr="000E6242" w:rsidRDefault="000E6242" w:rsidP="000E6242">
      <w:pPr>
        <w:pStyle w:val="Prrafodelista"/>
        <w:numPr>
          <w:ilvl w:val="0"/>
          <w:numId w:val="1"/>
        </w:numPr>
        <w:spacing w:after="0" w:line="240" w:lineRule="auto"/>
        <w:jc w:val="both"/>
        <w:rPr>
          <w:rFonts w:ascii="Times New Roman" w:hAnsi="Times New Roman" w:cs="Times New Roman"/>
          <w:b/>
          <w:bCs/>
          <w:sz w:val="24"/>
          <w:szCs w:val="24"/>
          <w:lang w:eastAsia="es-ES_tradnl"/>
        </w:rPr>
      </w:pPr>
      <w:r w:rsidRPr="000E6242">
        <w:rPr>
          <w:rFonts w:ascii="Times New Roman" w:hAnsi="Times New Roman" w:cs="Times New Roman"/>
          <w:b/>
          <w:bCs/>
          <w:sz w:val="24"/>
          <w:szCs w:val="24"/>
          <w:lang w:eastAsia="es-ES_tradnl"/>
        </w:rPr>
        <w:t>Escenarios postindustriales</w:t>
      </w:r>
    </w:p>
    <w:p w:rsidR="000E6242" w:rsidRPr="000E6242" w:rsidRDefault="003D5EB8" w:rsidP="000E6242">
      <w:pPr>
        <w:pStyle w:val="Prrafodelista"/>
        <w:numPr>
          <w:ilvl w:val="0"/>
          <w:numId w:val="26"/>
        </w:numPr>
        <w:spacing w:after="0" w:line="240" w:lineRule="auto"/>
        <w:jc w:val="both"/>
        <w:rPr>
          <w:rFonts w:ascii="Times New Roman" w:hAnsi="Times New Roman" w:cs="Times New Roman"/>
          <w:b/>
          <w:bCs/>
          <w:sz w:val="24"/>
          <w:szCs w:val="24"/>
          <w:lang w:eastAsia="es-ES_tradnl"/>
        </w:rPr>
      </w:pPr>
      <w:r w:rsidRPr="000E6242">
        <w:rPr>
          <w:rFonts w:ascii="Times New Roman" w:hAnsi="Times New Roman" w:cs="Times New Roman"/>
          <w:sz w:val="24"/>
          <w:szCs w:val="24"/>
        </w:rPr>
        <w:t xml:space="preserve">La futurología técnica instala el decorado que ambienta la construcción de </w:t>
      </w:r>
      <w:r w:rsidR="000E6242" w:rsidRPr="000E6242">
        <w:rPr>
          <w:rFonts w:ascii="Times New Roman" w:hAnsi="Times New Roman" w:cs="Times New Roman"/>
          <w:sz w:val="24"/>
          <w:szCs w:val="24"/>
        </w:rPr>
        <w:t>l</w:t>
      </w:r>
      <w:r w:rsidRPr="000E6242">
        <w:rPr>
          <w:rFonts w:ascii="Times New Roman" w:hAnsi="Times New Roman" w:cs="Times New Roman"/>
          <w:sz w:val="24"/>
          <w:szCs w:val="24"/>
        </w:rPr>
        <w:t>as ideas encargadas de anunciar, cuando no de explicar, que la humanidad está en el umbral de la nueva era de la información y, por tanto, de un nuevo universalismo.</w:t>
      </w:r>
    </w:p>
    <w:p w:rsidR="003D5EB8" w:rsidRPr="000E6242" w:rsidRDefault="003D5EB8" w:rsidP="000E6242">
      <w:pPr>
        <w:pStyle w:val="Prrafodelista"/>
        <w:numPr>
          <w:ilvl w:val="0"/>
          <w:numId w:val="26"/>
        </w:numPr>
        <w:spacing w:after="0" w:line="240" w:lineRule="auto"/>
        <w:jc w:val="both"/>
        <w:rPr>
          <w:rFonts w:ascii="Times New Roman" w:hAnsi="Times New Roman" w:cs="Times New Roman"/>
          <w:b/>
          <w:bCs/>
          <w:sz w:val="24"/>
          <w:szCs w:val="24"/>
          <w:lang w:eastAsia="es-ES_tradnl"/>
        </w:rPr>
      </w:pPr>
      <w:r w:rsidRPr="000E6242">
        <w:rPr>
          <w:rFonts w:ascii="Times New Roman" w:hAnsi="Times New Roman" w:cs="Times New Roman"/>
          <w:sz w:val="24"/>
          <w:szCs w:val="24"/>
        </w:rPr>
        <w:t xml:space="preserve">Una sociedad sometida a una quíntuple mutación: el desplazamiento del principal componente económico (paso de una economía de producción a una economía de servicio); la oscilación en la estructura de los empleos (preeminencia de la clase profesional y técnica); la nueva centralidad adquirida por el conocimiento teórico como fuente de innovación y de formulación de políticas públicas; la necesidad de jalonar el futuro, y el auge de una nueva tecnología intelectual, dirigida hacia la toma de decisiones.   </w:t>
      </w:r>
    </w:p>
    <w:p w:rsidR="003D5EB8" w:rsidRPr="000E6242" w:rsidRDefault="003D5EB8" w:rsidP="000E6242">
      <w:pPr>
        <w:pStyle w:val="Prrafodelista"/>
        <w:numPr>
          <w:ilvl w:val="0"/>
          <w:numId w:val="21"/>
        </w:numPr>
        <w:spacing w:after="0" w:line="240" w:lineRule="auto"/>
        <w:rPr>
          <w:rFonts w:ascii="Times New Roman" w:hAnsi="Times New Roman" w:cs="Times New Roman"/>
          <w:sz w:val="24"/>
          <w:szCs w:val="24"/>
          <w:lang w:eastAsia="es-ES_tradnl"/>
        </w:rPr>
      </w:pPr>
      <w:r w:rsidRPr="000E6242">
        <w:rPr>
          <w:rFonts w:ascii="Times New Roman" w:hAnsi="Times New Roman" w:cs="Times New Roman"/>
          <w:sz w:val="24"/>
          <w:szCs w:val="24"/>
          <w:lang w:eastAsia="es-ES_tradnl"/>
        </w:rPr>
        <w:t>Es lo que se refiere a la cuestión, primordial para la sociedad postindustrial, de las desavenencias entre el economizing mode, atrapado por la eficacia funcional y la gestión de las cosas (y de los hombres administrados como tales) para el que la toma en consideración de valores no económicos implica necesariamente pérdida de eficacia y reducción de la producción.</w:t>
      </w:r>
    </w:p>
    <w:p w:rsidR="003D5EB8" w:rsidRPr="000E6242" w:rsidRDefault="003D5EB8" w:rsidP="000E6242">
      <w:pPr>
        <w:pStyle w:val="Prrafodelista"/>
        <w:numPr>
          <w:ilvl w:val="0"/>
          <w:numId w:val="20"/>
        </w:numPr>
        <w:spacing w:after="0" w:line="240" w:lineRule="auto"/>
        <w:rPr>
          <w:rFonts w:ascii="Times New Roman" w:hAnsi="Times New Roman" w:cs="Times New Roman"/>
          <w:sz w:val="24"/>
          <w:szCs w:val="24"/>
          <w:lang w:eastAsia="es-ES_tradnl"/>
        </w:rPr>
      </w:pPr>
      <w:r w:rsidRPr="000E6242">
        <w:rPr>
          <w:rFonts w:ascii="Times New Roman" w:hAnsi="Times New Roman" w:cs="Times New Roman"/>
          <w:sz w:val="24"/>
          <w:szCs w:val="24"/>
          <w:lang w:eastAsia="es-ES_tradnl"/>
        </w:rPr>
        <w:t xml:space="preserve">Los flujos de la innovación, del cambio social, parten de arriba hacia abajo, de los emisores centrales y de las élites técnicas hacia los administrados, de las sociedades que han alcanzado la etapa superior de la modernización desarrollo a las sociedades de los escalones inferiores. </w:t>
      </w:r>
    </w:p>
    <w:p w:rsidR="003D5EB8" w:rsidRPr="000E6242" w:rsidRDefault="00215B79" w:rsidP="000E6242">
      <w:pPr>
        <w:pStyle w:val="Prrafodelista"/>
        <w:numPr>
          <w:ilvl w:val="0"/>
          <w:numId w:val="20"/>
        </w:numPr>
        <w:spacing w:after="0" w:line="240" w:lineRule="auto"/>
        <w:rPr>
          <w:rFonts w:ascii="Times New Roman" w:hAnsi="Times New Roman" w:cs="Times New Roman"/>
          <w:sz w:val="24"/>
          <w:szCs w:val="24"/>
          <w:lang w:eastAsia="es-ES_tradnl"/>
        </w:rPr>
      </w:pPr>
      <w:r w:rsidRPr="000E6242">
        <w:rPr>
          <w:rFonts w:ascii="Times New Roman" w:hAnsi="Times New Roman" w:cs="Times New Roman"/>
          <w:sz w:val="24"/>
          <w:szCs w:val="24"/>
          <w:lang w:eastAsia="es-ES_tradnl"/>
        </w:rPr>
        <w:lastRenderedPageBreak/>
        <w:t>L</w:t>
      </w:r>
      <w:r w:rsidR="003D5EB8" w:rsidRPr="000E6242">
        <w:rPr>
          <w:rFonts w:ascii="Times New Roman" w:hAnsi="Times New Roman" w:cs="Times New Roman"/>
          <w:sz w:val="24"/>
          <w:szCs w:val="24"/>
          <w:lang w:eastAsia="es-ES_tradnl"/>
        </w:rPr>
        <w:t xml:space="preserve">a revolución científica y técnica, un concepto que acumula ya una larga historia en los países del bloque comunista, pero que Richta explota para seguirle los pasos a la vulgata dominante según la cual sólo el comunismo está en condiciones de liberar el potencial de las fuerzas de la técnica, reprimidas por el capitalismo, sino para afirmar que está naciendo una civilización la civilización postindustrial, la civilización terciaria o la civilización de los servicios. </w:t>
      </w:r>
    </w:p>
    <w:p w:rsidR="000E6242" w:rsidRPr="000E6242" w:rsidRDefault="00215B79" w:rsidP="000E6242">
      <w:pPr>
        <w:pStyle w:val="NormalWeb"/>
        <w:numPr>
          <w:ilvl w:val="0"/>
          <w:numId w:val="20"/>
        </w:numPr>
        <w:spacing w:after="0" w:afterAutospacing="0"/>
        <w:jc w:val="both"/>
      </w:pPr>
      <w:r w:rsidRPr="000E6242">
        <w:t>Se reitera la</w:t>
      </w:r>
      <w:r w:rsidR="003D5EB8" w:rsidRPr="000E6242">
        <w:t xml:space="preserve"> fe inquebrantable en el papel de la </w:t>
      </w:r>
      <w:r w:rsidR="000E6242" w:rsidRPr="000E6242">
        <w:t>ciencia,</w:t>
      </w:r>
      <w:r w:rsidR="003D5EB8" w:rsidRPr="000E6242">
        <w:t xml:space="preserve"> así como en el de la universidad, destinada a convertirse en reservorio de pensamientos, intensamente ligados a la vida y a garantizar la mayor parte de la planificación política y la innovación social </w:t>
      </w:r>
    </w:p>
    <w:p w:rsidR="00826671" w:rsidRPr="000E6242" w:rsidRDefault="00BF790A" w:rsidP="00826671">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sidR="00826671" w:rsidRPr="000E6242">
        <w:rPr>
          <w:rFonts w:ascii="Times New Roman" w:hAnsi="Times New Roman" w:cs="Times New Roman"/>
          <w:b/>
          <w:sz w:val="24"/>
          <w:szCs w:val="24"/>
        </w:rPr>
        <w:t xml:space="preserve">5. </w:t>
      </w:r>
      <w:r w:rsidR="000E6242" w:rsidRPr="000E6242">
        <w:rPr>
          <w:rFonts w:ascii="Times New Roman" w:hAnsi="Times New Roman" w:cs="Times New Roman"/>
          <w:b/>
          <w:sz w:val="24"/>
          <w:szCs w:val="24"/>
        </w:rPr>
        <w:t xml:space="preserve"> </w:t>
      </w:r>
      <w:r w:rsidR="00826671" w:rsidRPr="000E6242">
        <w:rPr>
          <w:rFonts w:ascii="Times New Roman" w:hAnsi="Times New Roman" w:cs="Times New Roman"/>
          <w:b/>
          <w:sz w:val="24"/>
          <w:szCs w:val="24"/>
        </w:rPr>
        <w:t>Los avatares de las políticas públicas</w:t>
      </w:r>
    </w:p>
    <w:p w:rsidR="00826671" w:rsidRPr="000E6242" w:rsidRDefault="00826671" w:rsidP="00826671">
      <w:pPr>
        <w:pStyle w:val="Prrafodelista"/>
        <w:numPr>
          <w:ilvl w:val="0"/>
          <w:numId w:val="16"/>
        </w:numPr>
        <w:spacing w:after="0" w:line="240" w:lineRule="auto"/>
        <w:jc w:val="both"/>
        <w:rPr>
          <w:rFonts w:ascii="Times New Roman" w:hAnsi="Times New Roman" w:cs="Times New Roman"/>
          <w:b/>
          <w:sz w:val="24"/>
          <w:szCs w:val="24"/>
        </w:rPr>
      </w:pPr>
      <w:r w:rsidRPr="000E6242">
        <w:rPr>
          <w:rFonts w:ascii="Times New Roman" w:hAnsi="Times New Roman" w:cs="Times New Roman"/>
          <w:sz w:val="24"/>
          <w:szCs w:val="24"/>
        </w:rPr>
        <w:t xml:space="preserve">Japón es la primera sociedad informacional de la historia, para lograrlo atravesó por cuatro momentos: </w:t>
      </w:r>
    </w:p>
    <w:p w:rsidR="00826671" w:rsidRPr="000E6242" w:rsidRDefault="00826671" w:rsidP="000E6242">
      <w:pPr>
        <w:pStyle w:val="Prrafodelista"/>
        <w:numPr>
          <w:ilvl w:val="1"/>
          <w:numId w:val="16"/>
        </w:numPr>
        <w:spacing w:after="0" w:line="240" w:lineRule="auto"/>
        <w:jc w:val="both"/>
        <w:rPr>
          <w:rFonts w:ascii="Times New Roman" w:hAnsi="Times New Roman" w:cs="Times New Roman"/>
          <w:sz w:val="24"/>
          <w:szCs w:val="24"/>
        </w:rPr>
      </w:pPr>
      <w:r w:rsidRPr="000E6242">
        <w:rPr>
          <w:rFonts w:ascii="Times New Roman" w:hAnsi="Times New Roman" w:cs="Times New Roman"/>
          <w:sz w:val="24"/>
          <w:szCs w:val="24"/>
        </w:rPr>
        <w:t>Primer período (1945-1970) está marcado por el predominio de la megaciencia y por el tema «país»</w:t>
      </w:r>
    </w:p>
    <w:p w:rsidR="00826671" w:rsidRPr="000E6242" w:rsidRDefault="00826671" w:rsidP="000E6242">
      <w:pPr>
        <w:pStyle w:val="Prrafodelista"/>
        <w:numPr>
          <w:ilvl w:val="1"/>
          <w:numId w:val="16"/>
        </w:numPr>
        <w:spacing w:after="0" w:line="240" w:lineRule="auto"/>
        <w:jc w:val="both"/>
        <w:rPr>
          <w:rFonts w:ascii="Times New Roman" w:hAnsi="Times New Roman" w:cs="Times New Roman"/>
          <w:sz w:val="24"/>
          <w:szCs w:val="24"/>
        </w:rPr>
      </w:pPr>
      <w:r w:rsidRPr="000E6242">
        <w:rPr>
          <w:rFonts w:ascii="Times New Roman" w:hAnsi="Times New Roman" w:cs="Times New Roman"/>
          <w:sz w:val="24"/>
          <w:szCs w:val="24"/>
        </w:rPr>
        <w:t>Segundo período (1955-1980), por la «organización» y la «empresa»</w:t>
      </w:r>
    </w:p>
    <w:p w:rsidR="00826671" w:rsidRPr="000E6242" w:rsidRDefault="00826671" w:rsidP="000E6242">
      <w:pPr>
        <w:pStyle w:val="Prrafodelista"/>
        <w:numPr>
          <w:ilvl w:val="1"/>
          <w:numId w:val="16"/>
        </w:numPr>
        <w:spacing w:after="0" w:line="240" w:lineRule="auto"/>
        <w:jc w:val="both"/>
        <w:rPr>
          <w:rFonts w:ascii="Times New Roman" w:hAnsi="Times New Roman" w:cs="Times New Roman"/>
          <w:sz w:val="24"/>
          <w:szCs w:val="24"/>
        </w:rPr>
      </w:pPr>
      <w:r w:rsidRPr="000E6242">
        <w:rPr>
          <w:rFonts w:ascii="Times New Roman" w:hAnsi="Times New Roman" w:cs="Times New Roman"/>
          <w:sz w:val="24"/>
          <w:szCs w:val="24"/>
        </w:rPr>
        <w:t>Tercer período (1970-1990), por los «servicios sociales» y la «sociedad</w:t>
      </w:r>
    </w:p>
    <w:p w:rsidR="00826671" w:rsidRPr="000E6242" w:rsidRDefault="00826671" w:rsidP="000E6242">
      <w:pPr>
        <w:pStyle w:val="Prrafodelista"/>
        <w:numPr>
          <w:ilvl w:val="1"/>
          <w:numId w:val="16"/>
        </w:numPr>
        <w:spacing w:after="0" w:line="240" w:lineRule="auto"/>
        <w:jc w:val="both"/>
        <w:rPr>
          <w:rFonts w:ascii="Times New Roman" w:hAnsi="Times New Roman" w:cs="Times New Roman"/>
          <w:sz w:val="24"/>
          <w:szCs w:val="24"/>
        </w:rPr>
      </w:pPr>
      <w:r w:rsidRPr="000E6242">
        <w:rPr>
          <w:rFonts w:ascii="Times New Roman" w:hAnsi="Times New Roman" w:cs="Times New Roman"/>
          <w:sz w:val="24"/>
          <w:szCs w:val="24"/>
        </w:rPr>
        <w:t>Cuarto período (1980-2000), por los «particulares» y el «ser humano».</w:t>
      </w:r>
    </w:p>
    <w:p w:rsidR="00826671" w:rsidRPr="000E6242" w:rsidRDefault="00826671" w:rsidP="00826671">
      <w:pPr>
        <w:pStyle w:val="Prrafodelista"/>
        <w:numPr>
          <w:ilvl w:val="0"/>
          <w:numId w:val="16"/>
        </w:numPr>
        <w:spacing w:after="0" w:line="240" w:lineRule="auto"/>
        <w:jc w:val="both"/>
        <w:rPr>
          <w:rFonts w:ascii="Times New Roman" w:hAnsi="Times New Roman" w:cs="Times New Roman"/>
          <w:b/>
          <w:sz w:val="24"/>
          <w:szCs w:val="24"/>
        </w:rPr>
      </w:pPr>
      <w:r w:rsidRPr="000E6242">
        <w:rPr>
          <w:rFonts w:ascii="Times New Roman" w:hAnsi="Times New Roman" w:cs="Times New Roman"/>
          <w:sz w:val="24"/>
          <w:szCs w:val="24"/>
        </w:rPr>
        <w:t>El saber terminará por amoldarse a los stocks de información. Se debe construir los propios bancos de información Como ejemplo se menciona que el gobierno socialista inauguró una estrategia industrial que «apostó por la investigación científica y el progreso tecnológico como elementos motores para salir de la crisis» y que pretendió «democratizar la informática» antes que «informatizar la sociedad».</w:t>
      </w:r>
    </w:p>
    <w:p w:rsidR="00826671" w:rsidRPr="000E6242" w:rsidRDefault="00826671" w:rsidP="00826671">
      <w:pPr>
        <w:pStyle w:val="Prrafodelista"/>
        <w:numPr>
          <w:ilvl w:val="0"/>
          <w:numId w:val="16"/>
        </w:numPr>
        <w:spacing w:after="0" w:line="240" w:lineRule="auto"/>
        <w:jc w:val="both"/>
        <w:rPr>
          <w:rFonts w:ascii="Times New Roman" w:hAnsi="Times New Roman" w:cs="Times New Roman"/>
          <w:sz w:val="24"/>
          <w:szCs w:val="24"/>
        </w:rPr>
      </w:pPr>
      <w:r w:rsidRPr="000E6242">
        <w:rPr>
          <w:rFonts w:ascii="Times New Roman" w:hAnsi="Times New Roman" w:cs="Times New Roman"/>
          <w:sz w:val="24"/>
          <w:szCs w:val="24"/>
        </w:rPr>
        <w:t>El gobierno federal toma cartas en el asunto de las telecomunicaciones y pone en circulación la expresión «sociedad de la información». Para ello desarrolló la consigna sobre la aplicación de la electrónica a las «necesidades sociales».</w:t>
      </w:r>
    </w:p>
    <w:p w:rsidR="00826671" w:rsidRPr="000E6242" w:rsidRDefault="00826671" w:rsidP="00826671">
      <w:pPr>
        <w:pStyle w:val="Prrafodelista"/>
        <w:numPr>
          <w:ilvl w:val="0"/>
          <w:numId w:val="16"/>
        </w:numPr>
        <w:spacing w:after="0" w:line="240" w:lineRule="auto"/>
        <w:jc w:val="both"/>
        <w:rPr>
          <w:rFonts w:ascii="Times New Roman" w:hAnsi="Times New Roman" w:cs="Times New Roman"/>
          <w:b/>
          <w:sz w:val="24"/>
          <w:szCs w:val="24"/>
        </w:rPr>
      </w:pPr>
      <w:r w:rsidRPr="000E6242">
        <w:rPr>
          <w:rFonts w:ascii="Times New Roman" w:hAnsi="Times New Roman" w:cs="Times New Roman"/>
          <w:sz w:val="24"/>
          <w:szCs w:val="24"/>
        </w:rPr>
        <w:t>Se plantea el estudio de la «futura evolución de las sociedades industriales avanzadas en armonía con las de los países en desarrollo», en el cual se interroga acerca del «decisivo salto cualitativo» que representa la microelectrónica.</w:t>
      </w:r>
    </w:p>
    <w:p w:rsidR="001B58E2" w:rsidRPr="001B58E2" w:rsidRDefault="001B58E2" w:rsidP="00826671">
      <w:pPr>
        <w:pStyle w:val="Prrafodelista"/>
        <w:numPr>
          <w:ilvl w:val="0"/>
          <w:numId w:val="16"/>
        </w:numPr>
        <w:spacing w:after="200" w:line="276" w:lineRule="auto"/>
        <w:jc w:val="both"/>
        <w:rPr>
          <w:rFonts w:ascii="Times New Roman" w:hAnsi="Times New Roman" w:cs="Times New Roman"/>
          <w:b/>
          <w:sz w:val="24"/>
          <w:szCs w:val="24"/>
        </w:rPr>
      </w:pPr>
      <w:r>
        <w:rPr>
          <w:rFonts w:ascii="Times New Roman" w:hAnsi="Times New Roman"/>
          <w:sz w:val="24"/>
          <w:szCs w:val="24"/>
        </w:rPr>
        <w:t>El paso al estatus competitivo repercute en el conjunto del sistema comunicacional</w:t>
      </w:r>
      <w:r>
        <w:rPr>
          <w:rFonts w:ascii="Times New Roman" w:hAnsi="Times New Roman"/>
          <w:sz w:val="24"/>
          <w:szCs w:val="24"/>
        </w:rPr>
        <w:t xml:space="preserve">, se da paso a una </w:t>
      </w:r>
      <w:r>
        <w:rPr>
          <w:rFonts w:ascii="Times New Roman" w:hAnsi="Times New Roman"/>
          <w:sz w:val="24"/>
          <w:szCs w:val="24"/>
        </w:rPr>
        <w:t>batalla por figurar entre los pocos operadores globales de las telecomunicaciones, creando una nueva economía.</w:t>
      </w:r>
      <w:r w:rsidRPr="000E6242">
        <w:rPr>
          <w:rFonts w:ascii="Times New Roman" w:hAnsi="Times New Roman" w:cs="Times New Roman"/>
          <w:sz w:val="24"/>
          <w:szCs w:val="24"/>
        </w:rPr>
        <w:t xml:space="preserve"> </w:t>
      </w:r>
    </w:p>
    <w:p w:rsidR="00826671" w:rsidRPr="000E6242" w:rsidRDefault="001B58E2" w:rsidP="00826671">
      <w:pPr>
        <w:pStyle w:val="Prrafodelista"/>
        <w:numPr>
          <w:ilvl w:val="0"/>
          <w:numId w:val="16"/>
        </w:numPr>
        <w:spacing w:after="200" w:line="276" w:lineRule="auto"/>
        <w:jc w:val="both"/>
        <w:rPr>
          <w:rFonts w:ascii="Times New Roman" w:hAnsi="Times New Roman" w:cs="Times New Roman"/>
          <w:b/>
          <w:sz w:val="24"/>
          <w:szCs w:val="24"/>
        </w:rPr>
      </w:pPr>
      <w:r>
        <w:rPr>
          <w:rFonts w:ascii="Times New Roman" w:hAnsi="Times New Roman" w:cs="Times New Roman"/>
          <w:sz w:val="24"/>
          <w:szCs w:val="24"/>
        </w:rPr>
        <w:t xml:space="preserve">Se da una </w:t>
      </w:r>
      <w:r w:rsidR="00826671" w:rsidRPr="000E6242">
        <w:rPr>
          <w:rFonts w:ascii="Times New Roman" w:hAnsi="Times New Roman" w:cs="Times New Roman"/>
          <w:sz w:val="24"/>
          <w:szCs w:val="24"/>
        </w:rPr>
        <w:t>rápida liberalización de las telecomunicaciones al anticipar las mejoras de la productividad, el desarrollo de las innovaciones tecnológicas y el pluralismo cultural.</w:t>
      </w:r>
    </w:p>
    <w:p w:rsidR="00826671" w:rsidRPr="000E6242" w:rsidRDefault="00826671" w:rsidP="00826671">
      <w:pPr>
        <w:pStyle w:val="Prrafodelista"/>
        <w:numPr>
          <w:ilvl w:val="0"/>
          <w:numId w:val="14"/>
        </w:numPr>
        <w:spacing w:after="0" w:line="240" w:lineRule="auto"/>
        <w:rPr>
          <w:rFonts w:ascii="Times New Roman" w:hAnsi="Times New Roman" w:cs="Times New Roman"/>
          <w:b/>
          <w:bCs/>
          <w:sz w:val="24"/>
          <w:szCs w:val="24"/>
        </w:rPr>
      </w:pPr>
      <w:r w:rsidRPr="000E6242">
        <w:rPr>
          <w:rFonts w:ascii="Times New Roman" w:hAnsi="Times New Roman" w:cs="Times New Roman"/>
          <w:b/>
          <w:bCs/>
          <w:sz w:val="24"/>
          <w:szCs w:val="24"/>
        </w:rPr>
        <w:t>La sociedad global de la información: un envite geopolítico</w:t>
      </w:r>
    </w:p>
    <w:p w:rsidR="00826671" w:rsidRPr="000E6242" w:rsidRDefault="00826671" w:rsidP="00826671">
      <w:pPr>
        <w:pStyle w:val="Prrafodelista"/>
        <w:numPr>
          <w:ilvl w:val="0"/>
          <w:numId w:val="15"/>
        </w:numPr>
        <w:spacing w:after="0" w:line="240" w:lineRule="auto"/>
        <w:jc w:val="both"/>
        <w:rPr>
          <w:rFonts w:ascii="Times New Roman" w:hAnsi="Times New Roman" w:cs="Times New Roman"/>
          <w:b/>
          <w:bCs/>
          <w:sz w:val="24"/>
          <w:szCs w:val="24"/>
        </w:rPr>
      </w:pPr>
      <w:r w:rsidRPr="000E6242">
        <w:rPr>
          <w:rFonts w:ascii="Times New Roman" w:hAnsi="Times New Roman" w:cs="Times New Roman"/>
          <w:sz w:val="24"/>
          <w:szCs w:val="24"/>
        </w:rPr>
        <w:t>El paradigma tecnoinformacional se ha convertido en el pivote de un proyecto geopolítico cuya función es la de garantizar la reordenación geoeconómica del planeta en torno a los valores de la democracia de mercado y en un mundo unipolar.</w:t>
      </w:r>
    </w:p>
    <w:p w:rsidR="00826671" w:rsidRPr="000E6242" w:rsidRDefault="00826671" w:rsidP="00826671">
      <w:pPr>
        <w:pStyle w:val="Prrafodelista"/>
        <w:numPr>
          <w:ilvl w:val="0"/>
          <w:numId w:val="15"/>
        </w:numPr>
        <w:spacing w:after="0" w:line="240" w:lineRule="auto"/>
        <w:jc w:val="both"/>
        <w:rPr>
          <w:rFonts w:ascii="Times New Roman" w:hAnsi="Times New Roman" w:cs="Times New Roman"/>
          <w:b/>
          <w:bCs/>
          <w:sz w:val="24"/>
          <w:szCs w:val="24"/>
        </w:rPr>
      </w:pPr>
      <w:r w:rsidRPr="000E6242">
        <w:rPr>
          <w:rFonts w:ascii="Times New Roman" w:hAnsi="Times New Roman" w:cs="Times New Roman"/>
          <w:sz w:val="24"/>
          <w:szCs w:val="24"/>
        </w:rPr>
        <w:t>Se ha producido el advenimiento de la era tecnotrónica, el concepto de la «diplomacia de las redes» reconfigura los parámetros de la hegemonía: «El saber, más que nunca, es poder.</w:t>
      </w:r>
    </w:p>
    <w:p w:rsidR="00826671" w:rsidRPr="000E6242" w:rsidRDefault="00826671" w:rsidP="00826671">
      <w:pPr>
        <w:pStyle w:val="Prrafodelista"/>
        <w:numPr>
          <w:ilvl w:val="0"/>
          <w:numId w:val="15"/>
        </w:numPr>
        <w:spacing w:after="0" w:line="240" w:lineRule="auto"/>
        <w:jc w:val="both"/>
        <w:rPr>
          <w:rFonts w:ascii="Times New Roman" w:hAnsi="Times New Roman" w:cs="Times New Roman"/>
          <w:b/>
          <w:bCs/>
          <w:sz w:val="24"/>
          <w:szCs w:val="24"/>
        </w:rPr>
      </w:pPr>
      <w:r w:rsidRPr="000E6242">
        <w:rPr>
          <w:rFonts w:ascii="Times New Roman" w:hAnsi="Times New Roman" w:cs="Times New Roman"/>
          <w:sz w:val="24"/>
          <w:szCs w:val="24"/>
        </w:rPr>
        <w:t>La formalización de la doctrina está aguijoneada por el diagnóstico sobre la vulnerabilidad de las redes frente a los ataques de grupos terroristas o de piratas informáticos organizados (hacktivists)</w:t>
      </w:r>
    </w:p>
    <w:p w:rsidR="00826671" w:rsidRPr="000E6242" w:rsidRDefault="00826671" w:rsidP="00826671">
      <w:pPr>
        <w:pStyle w:val="Prrafodelista"/>
        <w:numPr>
          <w:ilvl w:val="0"/>
          <w:numId w:val="15"/>
        </w:numPr>
        <w:spacing w:after="0" w:line="240" w:lineRule="auto"/>
        <w:jc w:val="both"/>
        <w:rPr>
          <w:rFonts w:ascii="Times New Roman" w:hAnsi="Times New Roman" w:cs="Times New Roman"/>
          <w:b/>
          <w:bCs/>
          <w:sz w:val="24"/>
          <w:szCs w:val="24"/>
        </w:rPr>
      </w:pPr>
      <w:r w:rsidRPr="000E6242">
        <w:rPr>
          <w:rFonts w:ascii="Times New Roman" w:hAnsi="Times New Roman" w:cs="Times New Roman"/>
          <w:sz w:val="24"/>
          <w:szCs w:val="24"/>
        </w:rPr>
        <w:lastRenderedPageBreak/>
        <w:t>Las cuatro virtudes cardinales de la sociedad informacional son «descentralizar», «globalizar», «armonizar» y «dar plenos poderes para hacer. De esta manera, la empresa-red se convierte en símbolo del fin de la contradicción entre trabajo y capital que ha condicionado la era industrial.</w:t>
      </w:r>
    </w:p>
    <w:p w:rsidR="001B58E2" w:rsidRPr="001B58E2" w:rsidRDefault="001B58E2" w:rsidP="00826671">
      <w:pPr>
        <w:pStyle w:val="Prrafodelista"/>
        <w:numPr>
          <w:ilvl w:val="0"/>
          <w:numId w:val="15"/>
        </w:numPr>
        <w:spacing w:after="0" w:line="276" w:lineRule="auto"/>
        <w:jc w:val="both"/>
        <w:rPr>
          <w:rFonts w:ascii="Times New Roman" w:hAnsi="Times New Roman" w:cs="Times New Roman"/>
          <w:b/>
          <w:bCs/>
          <w:sz w:val="24"/>
          <w:szCs w:val="24"/>
        </w:rPr>
      </w:pPr>
      <w:r>
        <w:rPr>
          <w:rFonts w:ascii="Times New Roman" w:hAnsi="Times New Roman"/>
          <w:sz w:val="24"/>
          <w:szCs w:val="24"/>
        </w:rPr>
        <w:t>El</w:t>
      </w:r>
      <w:r>
        <w:rPr>
          <w:rFonts w:ascii="Times New Roman" w:hAnsi="Times New Roman"/>
          <w:sz w:val="24"/>
          <w:szCs w:val="24"/>
        </w:rPr>
        <w:t xml:space="preserve"> poder se concentra en unos cuantos, provocando una vigilancia, con el pretexto de seguridad nacional y efectos de mercado</w:t>
      </w:r>
      <w:r>
        <w:rPr>
          <w:rFonts w:ascii="Times New Roman" w:hAnsi="Times New Roman" w:cs="Times New Roman"/>
          <w:sz w:val="24"/>
          <w:szCs w:val="24"/>
        </w:rPr>
        <w:t>.</w:t>
      </w:r>
      <w:bookmarkStart w:id="0" w:name="_GoBack"/>
      <w:bookmarkEnd w:id="0"/>
    </w:p>
    <w:p w:rsidR="00826671" w:rsidRPr="000E6242" w:rsidRDefault="00826671" w:rsidP="00826671">
      <w:pPr>
        <w:pStyle w:val="Prrafodelista"/>
        <w:numPr>
          <w:ilvl w:val="0"/>
          <w:numId w:val="15"/>
        </w:numPr>
        <w:spacing w:after="0" w:line="276" w:lineRule="auto"/>
        <w:jc w:val="both"/>
        <w:rPr>
          <w:rFonts w:ascii="Times New Roman" w:hAnsi="Times New Roman" w:cs="Times New Roman"/>
          <w:b/>
          <w:bCs/>
          <w:sz w:val="24"/>
          <w:szCs w:val="24"/>
        </w:rPr>
      </w:pPr>
      <w:r w:rsidRPr="000E6242">
        <w:rPr>
          <w:rFonts w:ascii="Times New Roman" w:hAnsi="Times New Roman" w:cs="Times New Roman"/>
          <w:sz w:val="24"/>
          <w:szCs w:val="24"/>
        </w:rPr>
        <w:t>El territorio del Estado-nación sigue siendo el marco histórico y funcional del ejercicio democrático, el lugar de definición del contrato social.</w:t>
      </w:r>
    </w:p>
    <w:p w:rsidR="00826671" w:rsidRPr="000E6242" w:rsidRDefault="00826671" w:rsidP="00826671">
      <w:pPr>
        <w:pStyle w:val="Prrafodelista"/>
        <w:jc w:val="both"/>
        <w:rPr>
          <w:rFonts w:ascii="Times New Roman" w:hAnsi="Times New Roman" w:cs="Times New Roman"/>
          <w:sz w:val="24"/>
          <w:szCs w:val="24"/>
        </w:rPr>
      </w:pPr>
    </w:p>
    <w:sectPr w:rsidR="00826671" w:rsidRPr="000E624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A63E2"/>
    <w:multiLevelType w:val="hybridMultilevel"/>
    <w:tmpl w:val="87DC899E"/>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03017391"/>
    <w:multiLevelType w:val="hybridMultilevel"/>
    <w:tmpl w:val="871247E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16CE16AF"/>
    <w:multiLevelType w:val="hybridMultilevel"/>
    <w:tmpl w:val="73A8616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15:restartNumberingAfterBreak="0">
    <w:nsid w:val="17874705"/>
    <w:multiLevelType w:val="hybridMultilevel"/>
    <w:tmpl w:val="BC2A32C6"/>
    <w:lvl w:ilvl="0" w:tplc="300A000D">
      <w:start w:val="1"/>
      <w:numFmt w:val="bullet"/>
      <w:lvlText w:val=""/>
      <w:lvlJc w:val="left"/>
      <w:pPr>
        <w:ind w:left="720" w:hanging="360"/>
      </w:pPr>
      <w:rPr>
        <w:rFonts w:ascii="Wingdings" w:hAnsi="Wingdings"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1A0B4B00"/>
    <w:multiLevelType w:val="hybridMultilevel"/>
    <w:tmpl w:val="1BA843C8"/>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1B401EB6"/>
    <w:multiLevelType w:val="hybridMultilevel"/>
    <w:tmpl w:val="B4CC8498"/>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22623F79"/>
    <w:multiLevelType w:val="hybridMultilevel"/>
    <w:tmpl w:val="6E169FCC"/>
    <w:lvl w:ilvl="0" w:tplc="300A0005">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26B355F3"/>
    <w:multiLevelType w:val="hybridMultilevel"/>
    <w:tmpl w:val="9BFEE210"/>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277202A4"/>
    <w:multiLevelType w:val="hybridMultilevel"/>
    <w:tmpl w:val="FFFAAE84"/>
    <w:lvl w:ilvl="0" w:tplc="300A0005">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15:restartNumberingAfterBreak="0">
    <w:nsid w:val="2AA65F89"/>
    <w:multiLevelType w:val="hybridMultilevel"/>
    <w:tmpl w:val="BC8495F8"/>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2D083535"/>
    <w:multiLevelType w:val="hybridMultilevel"/>
    <w:tmpl w:val="E5DE0134"/>
    <w:lvl w:ilvl="0" w:tplc="300A000D">
      <w:start w:val="1"/>
      <w:numFmt w:val="bullet"/>
      <w:lvlText w:val=""/>
      <w:lvlJc w:val="left"/>
      <w:pPr>
        <w:ind w:left="1080" w:hanging="360"/>
      </w:pPr>
      <w:rPr>
        <w:rFonts w:ascii="Wingdings" w:hAnsi="Wingding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11" w15:restartNumberingAfterBreak="0">
    <w:nsid w:val="3320085C"/>
    <w:multiLevelType w:val="hybridMultilevel"/>
    <w:tmpl w:val="B9440446"/>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2" w15:restartNumberingAfterBreak="0">
    <w:nsid w:val="37916C64"/>
    <w:multiLevelType w:val="hybridMultilevel"/>
    <w:tmpl w:val="B456C5A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3" w15:restartNumberingAfterBreak="0">
    <w:nsid w:val="407C18A5"/>
    <w:multiLevelType w:val="hybridMultilevel"/>
    <w:tmpl w:val="5058DA74"/>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42E46CA0"/>
    <w:multiLevelType w:val="hybridMultilevel"/>
    <w:tmpl w:val="EADEFF8E"/>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462131BA"/>
    <w:multiLevelType w:val="hybridMultilevel"/>
    <w:tmpl w:val="A3E65446"/>
    <w:lvl w:ilvl="0" w:tplc="300A0005">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4B025A49"/>
    <w:multiLevelType w:val="hybridMultilevel"/>
    <w:tmpl w:val="EB444B6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4FF10C40"/>
    <w:multiLevelType w:val="hybridMultilevel"/>
    <w:tmpl w:val="62863506"/>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15:restartNumberingAfterBreak="0">
    <w:nsid w:val="50DE2AA1"/>
    <w:multiLevelType w:val="hybridMultilevel"/>
    <w:tmpl w:val="2932CFBC"/>
    <w:lvl w:ilvl="0" w:tplc="300A0005">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9" w15:restartNumberingAfterBreak="0">
    <w:nsid w:val="513F1AE2"/>
    <w:multiLevelType w:val="hybridMultilevel"/>
    <w:tmpl w:val="4E78E990"/>
    <w:lvl w:ilvl="0" w:tplc="300A000F">
      <w:start w:val="6"/>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0" w15:restartNumberingAfterBreak="0">
    <w:nsid w:val="52932415"/>
    <w:multiLevelType w:val="hybridMultilevel"/>
    <w:tmpl w:val="08D8B4FA"/>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1" w15:restartNumberingAfterBreak="0">
    <w:nsid w:val="57372350"/>
    <w:multiLevelType w:val="hybridMultilevel"/>
    <w:tmpl w:val="B94AEAA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2" w15:restartNumberingAfterBreak="0">
    <w:nsid w:val="59585920"/>
    <w:multiLevelType w:val="hybridMultilevel"/>
    <w:tmpl w:val="C1F2E07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3" w15:restartNumberingAfterBreak="0">
    <w:nsid w:val="5EA364CF"/>
    <w:multiLevelType w:val="hybridMultilevel"/>
    <w:tmpl w:val="5FFE2A78"/>
    <w:lvl w:ilvl="0" w:tplc="300A0005">
      <w:start w:val="1"/>
      <w:numFmt w:val="bullet"/>
      <w:lvlText w:val=""/>
      <w:lvlJc w:val="left"/>
      <w:pPr>
        <w:ind w:left="720" w:hanging="360"/>
      </w:pPr>
      <w:rPr>
        <w:rFonts w:ascii="Wingdings" w:hAnsi="Wingdings" w:hint="default"/>
      </w:rPr>
    </w:lvl>
    <w:lvl w:ilvl="1" w:tplc="B2A01F74">
      <w:start w:val="6"/>
      <w:numFmt w:val="decimal"/>
      <w:lvlText w:val="%2."/>
      <w:lvlJc w:val="left"/>
      <w:pPr>
        <w:ind w:left="1440" w:hanging="360"/>
      </w:pPr>
      <w:rPr>
        <w:rFonts w:hint="default"/>
      </w:rPr>
    </w:lvl>
    <w:lvl w:ilvl="2" w:tplc="300A000F">
      <w:start w:val="1"/>
      <w:numFmt w:val="decimal"/>
      <w:lvlText w:val="%3."/>
      <w:lvlJc w:val="left"/>
      <w:pPr>
        <w:ind w:left="2160" w:hanging="360"/>
      </w:pPr>
      <w:rPr>
        <w:rFont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4" w15:restartNumberingAfterBreak="0">
    <w:nsid w:val="5F840B2F"/>
    <w:multiLevelType w:val="hybridMultilevel"/>
    <w:tmpl w:val="E396A04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5" w15:restartNumberingAfterBreak="0">
    <w:nsid w:val="65B64D84"/>
    <w:multiLevelType w:val="hybridMultilevel"/>
    <w:tmpl w:val="158C1BBE"/>
    <w:lvl w:ilvl="0" w:tplc="300A000D">
      <w:start w:val="1"/>
      <w:numFmt w:val="bullet"/>
      <w:lvlText w:val=""/>
      <w:lvlJc w:val="left"/>
      <w:pPr>
        <w:ind w:left="1080" w:hanging="360"/>
      </w:pPr>
      <w:rPr>
        <w:rFonts w:ascii="Wingdings" w:hAnsi="Wingding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26" w15:restartNumberingAfterBreak="0">
    <w:nsid w:val="6B904087"/>
    <w:multiLevelType w:val="hybridMultilevel"/>
    <w:tmpl w:val="637299D4"/>
    <w:lvl w:ilvl="0" w:tplc="300A000D">
      <w:start w:val="1"/>
      <w:numFmt w:val="bullet"/>
      <w:lvlText w:val=""/>
      <w:lvlJc w:val="left"/>
      <w:pPr>
        <w:ind w:left="720" w:hanging="360"/>
      </w:pPr>
      <w:rPr>
        <w:rFonts w:ascii="Wingdings" w:hAnsi="Wingding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6F4C7E8C"/>
    <w:multiLevelType w:val="hybridMultilevel"/>
    <w:tmpl w:val="4670C28C"/>
    <w:lvl w:ilvl="0" w:tplc="300A000D">
      <w:start w:val="1"/>
      <w:numFmt w:val="bullet"/>
      <w:lvlText w:val=""/>
      <w:lvlJc w:val="left"/>
      <w:pPr>
        <w:ind w:left="1080" w:hanging="360"/>
      </w:pPr>
      <w:rPr>
        <w:rFonts w:ascii="Wingdings" w:hAnsi="Wingding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26"/>
  </w:num>
  <w:num w:numId="4">
    <w:abstractNumId w:val="9"/>
  </w:num>
  <w:num w:numId="5">
    <w:abstractNumId w:val="12"/>
  </w:num>
  <w:num w:numId="6">
    <w:abstractNumId w:val="6"/>
  </w:num>
  <w:num w:numId="7">
    <w:abstractNumId w:val="8"/>
  </w:num>
  <w:num w:numId="8">
    <w:abstractNumId w:val="15"/>
  </w:num>
  <w:num w:numId="9">
    <w:abstractNumId w:val="18"/>
  </w:num>
  <w:num w:numId="10">
    <w:abstractNumId w:val="22"/>
  </w:num>
  <w:num w:numId="11">
    <w:abstractNumId w:val="21"/>
  </w:num>
  <w:num w:numId="12">
    <w:abstractNumId w:val="16"/>
  </w:num>
  <w:num w:numId="13">
    <w:abstractNumId w:val="23"/>
  </w:num>
  <w:num w:numId="14">
    <w:abstractNumId w:val="19"/>
  </w:num>
  <w:num w:numId="15">
    <w:abstractNumId w:val="13"/>
  </w:num>
  <w:num w:numId="16">
    <w:abstractNumId w:val="3"/>
  </w:num>
  <w:num w:numId="17">
    <w:abstractNumId w:val="11"/>
  </w:num>
  <w:num w:numId="18">
    <w:abstractNumId w:val="5"/>
  </w:num>
  <w:num w:numId="19">
    <w:abstractNumId w:val="17"/>
  </w:num>
  <w:num w:numId="20">
    <w:abstractNumId w:val="0"/>
  </w:num>
  <w:num w:numId="21">
    <w:abstractNumId w:val="7"/>
  </w:num>
  <w:num w:numId="22">
    <w:abstractNumId w:val="14"/>
  </w:num>
  <w:num w:numId="23">
    <w:abstractNumId w:val="10"/>
  </w:num>
  <w:num w:numId="24">
    <w:abstractNumId w:val="20"/>
  </w:num>
  <w:num w:numId="25">
    <w:abstractNumId w:val="27"/>
  </w:num>
  <w:num w:numId="26">
    <w:abstractNumId w:val="4"/>
  </w:num>
  <w:num w:numId="27">
    <w:abstractNumId w:val="24"/>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EAC"/>
    <w:rsid w:val="000E6242"/>
    <w:rsid w:val="001B58E2"/>
    <w:rsid w:val="00215B79"/>
    <w:rsid w:val="003D5EB8"/>
    <w:rsid w:val="004E0B19"/>
    <w:rsid w:val="004F3D74"/>
    <w:rsid w:val="005403DF"/>
    <w:rsid w:val="00826671"/>
    <w:rsid w:val="00835EAC"/>
    <w:rsid w:val="00BF790A"/>
    <w:rsid w:val="00C56390"/>
    <w:rsid w:val="00E5172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C2F55"/>
  <w15:chartTrackingRefBased/>
  <w15:docId w15:val="{64B59C76-E8D9-46DB-926D-AAD7DC10A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EA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5EAC"/>
    <w:pPr>
      <w:ind w:left="720"/>
      <w:contextualSpacing/>
    </w:pPr>
  </w:style>
  <w:style w:type="paragraph" w:styleId="NormalWeb">
    <w:name w:val="Normal (Web)"/>
    <w:basedOn w:val="Normal"/>
    <w:uiPriority w:val="99"/>
    <w:unhideWhenUsed/>
    <w:rsid w:val="003D5EB8"/>
    <w:pPr>
      <w:spacing w:before="100" w:beforeAutospacing="1" w:after="100" w:afterAutospacing="1" w:line="240" w:lineRule="auto"/>
    </w:pPr>
    <w:rPr>
      <w:rFonts w:ascii="Times New Roman" w:hAnsi="Times New Roman" w:cs="Times New Roman"/>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1482</Words>
  <Characters>8156</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Gudiño</dc:creator>
  <cp:keywords/>
  <dc:description/>
  <cp:lastModifiedBy>PC CARLA VARELA</cp:lastModifiedBy>
  <cp:revision>3</cp:revision>
  <dcterms:created xsi:type="dcterms:W3CDTF">2019-09-11T18:57:00Z</dcterms:created>
  <dcterms:modified xsi:type="dcterms:W3CDTF">2019-09-11T19:03:00Z</dcterms:modified>
</cp:coreProperties>
</file>