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4DEE" w:rsidRDefault="000227B4" w:rsidP="00E37468">
      <w:pPr>
        <w:spacing w:after="0"/>
        <w:jc w:val="center"/>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59264" behindDoc="1" locked="0" layoutInCell="1" allowOverlap="1">
            <wp:simplePos x="0" y="0"/>
            <wp:positionH relativeFrom="column">
              <wp:posOffset>4796790</wp:posOffset>
            </wp:positionH>
            <wp:positionV relativeFrom="paragraph">
              <wp:posOffset>0</wp:posOffset>
            </wp:positionV>
            <wp:extent cx="1428750" cy="561975"/>
            <wp:effectExtent l="0" t="0" r="0" b="9525"/>
            <wp:wrapTight wrapText="bothSides">
              <wp:wrapPolygon edited="0">
                <wp:start x="0" y="0"/>
                <wp:lineTo x="0" y="21234"/>
                <wp:lineTo x="21312" y="21234"/>
                <wp:lineTo x="21312"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scarga (4).jpg"/>
                    <pic:cNvPicPr/>
                  </pic:nvPicPr>
                  <pic:blipFill>
                    <a:blip r:embed="rId5">
                      <a:extLst>
                        <a:ext uri="{28A0092B-C50C-407E-A947-70E740481C1C}">
                          <a14:useLocalDpi xmlns:a14="http://schemas.microsoft.com/office/drawing/2010/main" val="0"/>
                        </a:ext>
                      </a:extLst>
                    </a:blip>
                    <a:stretch>
                      <a:fillRect/>
                    </a:stretch>
                  </pic:blipFill>
                  <pic:spPr>
                    <a:xfrm>
                      <a:off x="0" y="0"/>
                      <a:ext cx="1428750" cy="561975"/>
                    </a:xfrm>
                    <a:prstGeom prst="rect">
                      <a:avLst/>
                    </a:prstGeom>
                  </pic:spPr>
                </pic:pic>
              </a:graphicData>
            </a:graphic>
            <wp14:sizeRelH relativeFrom="page">
              <wp14:pctWidth>0</wp14:pctWidth>
            </wp14:sizeRelH>
            <wp14:sizeRelV relativeFrom="page">
              <wp14:pctHeight>0</wp14:pctHeight>
            </wp14:sizeRelV>
          </wp:anchor>
        </w:drawing>
      </w:r>
      <w:r w:rsidR="00E37468">
        <w:rPr>
          <w:rFonts w:ascii="Times New Roman" w:hAnsi="Times New Roman" w:cs="Times New Roman"/>
          <w:b/>
          <w:bCs/>
          <w:noProof/>
          <w:sz w:val="24"/>
          <w:szCs w:val="24"/>
        </w:rPr>
        <w:drawing>
          <wp:anchor distT="0" distB="0" distL="114300" distR="114300" simplePos="0" relativeHeight="251658240" behindDoc="1" locked="0" layoutInCell="1" allowOverlap="1">
            <wp:simplePos x="0" y="0"/>
            <wp:positionH relativeFrom="column">
              <wp:posOffset>272415</wp:posOffset>
            </wp:positionH>
            <wp:positionV relativeFrom="paragraph">
              <wp:posOffset>0</wp:posOffset>
            </wp:positionV>
            <wp:extent cx="685800" cy="685800"/>
            <wp:effectExtent l="0" t="0" r="0" b="0"/>
            <wp:wrapTight wrapText="bothSides">
              <wp:wrapPolygon edited="0">
                <wp:start x="0" y="0"/>
                <wp:lineTo x="0" y="21000"/>
                <wp:lineTo x="21000" y="21000"/>
                <wp:lineTo x="21000"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5800" cy="685800"/>
                    </a:xfrm>
                    <a:prstGeom prst="rect">
                      <a:avLst/>
                    </a:prstGeom>
                  </pic:spPr>
                </pic:pic>
              </a:graphicData>
            </a:graphic>
            <wp14:sizeRelH relativeFrom="page">
              <wp14:pctWidth>0</wp14:pctWidth>
            </wp14:sizeRelH>
            <wp14:sizeRelV relativeFrom="page">
              <wp14:pctHeight>0</wp14:pctHeight>
            </wp14:sizeRelV>
          </wp:anchor>
        </w:drawing>
      </w:r>
      <w:r w:rsidR="007C4DEE" w:rsidRPr="007C4DEE">
        <w:rPr>
          <w:rFonts w:ascii="Times New Roman" w:hAnsi="Times New Roman" w:cs="Times New Roman"/>
          <w:b/>
          <w:bCs/>
          <w:sz w:val="24"/>
          <w:szCs w:val="24"/>
        </w:rPr>
        <w:t>UNIVERSIDAD CENTRAL DEL ECUADOR</w:t>
      </w:r>
    </w:p>
    <w:p w:rsidR="00E37468" w:rsidRDefault="00E37468" w:rsidP="00E37468">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FACULTAD DE COMUNICACIÓN SOCIAL </w:t>
      </w:r>
    </w:p>
    <w:p w:rsidR="00E37468" w:rsidRDefault="00E37468" w:rsidP="00E37468">
      <w:pPr>
        <w:spacing w:after="0"/>
        <w:jc w:val="center"/>
        <w:rPr>
          <w:rFonts w:ascii="Times New Roman" w:hAnsi="Times New Roman" w:cs="Times New Roman"/>
          <w:b/>
          <w:bCs/>
          <w:sz w:val="24"/>
          <w:szCs w:val="24"/>
        </w:rPr>
      </w:pPr>
    </w:p>
    <w:p w:rsidR="00E37468" w:rsidRPr="007C4DEE" w:rsidRDefault="00E37468" w:rsidP="00E37468">
      <w:pPr>
        <w:spacing w:after="0"/>
        <w:jc w:val="center"/>
        <w:rPr>
          <w:rFonts w:ascii="Times New Roman" w:hAnsi="Times New Roman" w:cs="Times New Roman"/>
          <w:b/>
          <w:bCs/>
          <w:sz w:val="24"/>
          <w:szCs w:val="24"/>
        </w:rPr>
      </w:pPr>
    </w:p>
    <w:p w:rsidR="007C4DEE" w:rsidRPr="007C4DEE" w:rsidRDefault="007C4DEE">
      <w:pPr>
        <w:rPr>
          <w:rFonts w:ascii="Times New Roman" w:hAnsi="Times New Roman" w:cs="Times New Roman"/>
          <w:sz w:val="24"/>
          <w:szCs w:val="24"/>
        </w:rPr>
      </w:pPr>
      <w:r w:rsidRPr="007C4DEE">
        <w:rPr>
          <w:rFonts w:ascii="Times New Roman" w:hAnsi="Times New Roman" w:cs="Times New Roman"/>
          <w:b/>
          <w:bCs/>
          <w:sz w:val="24"/>
          <w:szCs w:val="24"/>
        </w:rPr>
        <w:t>Nombre:</w:t>
      </w:r>
      <w:r w:rsidRPr="007C4DEE">
        <w:rPr>
          <w:rFonts w:ascii="Times New Roman" w:hAnsi="Times New Roman" w:cs="Times New Roman"/>
          <w:sz w:val="24"/>
          <w:szCs w:val="24"/>
        </w:rPr>
        <w:t xml:space="preserve"> Karen Chango Mora</w:t>
      </w:r>
    </w:p>
    <w:p w:rsidR="007C4DEE" w:rsidRDefault="007C4DEE">
      <w:pPr>
        <w:rPr>
          <w:rFonts w:ascii="Times New Roman" w:hAnsi="Times New Roman" w:cs="Times New Roman"/>
          <w:sz w:val="24"/>
          <w:szCs w:val="24"/>
        </w:rPr>
      </w:pPr>
      <w:r w:rsidRPr="007C4DEE">
        <w:rPr>
          <w:rFonts w:ascii="Times New Roman" w:hAnsi="Times New Roman" w:cs="Times New Roman"/>
          <w:b/>
          <w:bCs/>
          <w:sz w:val="24"/>
          <w:szCs w:val="24"/>
        </w:rPr>
        <w:t>Curso:</w:t>
      </w:r>
      <w:r w:rsidRPr="007C4DEE">
        <w:rPr>
          <w:rFonts w:ascii="Times New Roman" w:hAnsi="Times New Roman" w:cs="Times New Roman"/>
          <w:sz w:val="24"/>
          <w:szCs w:val="24"/>
        </w:rPr>
        <w:t xml:space="preserve"> 6to “A”</w:t>
      </w:r>
    </w:p>
    <w:p w:rsidR="00E37468" w:rsidRPr="007C4DEE" w:rsidRDefault="00E37468">
      <w:pPr>
        <w:rPr>
          <w:rFonts w:ascii="Times New Roman" w:hAnsi="Times New Roman" w:cs="Times New Roman"/>
          <w:sz w:val="24"/>
          <w:szCs w:val="24"/>
        </w:rPr>
      </w:pPr>
      <w:r w:rsidRPr="00E37468">
        <w:rPr>
          <w:rFonts w:ascii="Times New Roman" w:hAnsi="Times New Roman" w:cs="Times New Roman"/>
          <w:b/>
          <w:bCs/>
          <w:sz w:val="24"/>
          <w:szCs w:val="24"/>
        </w:rPr>
        <w:t>Fecha:</w:t>
      </w:r>
      <w:r>
        <w:rPr>
          <w:rFonts w:ascii="Times New Roman" w:hAnsi="Times New Roman" w:cs="Times New Roman"/>
          <w:sz w:val="24"/>
          <w:szCs w:val="24"/>
        </w:rPr>
        <w:t xml:space="preserve"> 2020/01/06</w:t>
      </w:r>
    </w:p>
    <w:p w:rsidR="007C4DEE" w:rsidRDefault="007C4DEE">
      <w:pPr>
        <w:rPr>
          <w:rFonts w:ascii="Times New Roman" w:hAnsi="Times New Roman" w:cs="Times New Roman"/>
          <w:b/>
          <w:bCs/>
          <w:sz w:val="24"/>
          <w:szCs w:val="24"/>
        </w:rPr>
      </w:pPr>
      <w:r w:rsidRPr="007C4DEE">
        <w:rPr>
          <w:rFonts w:ascii="Times New Roman" w:hAnsi="Times New Roman" w:cs="Times New Roman"/>
          <w:b/>
          <w:bCs/>
          <w:sz w:val="24"/>
          <w:szCs w:val="24"/>
        </w:rPr>
        <w:t xml:space="preserve">ENSAYO SOBRE LA INFORMACIÓN Y COMUNICACIÓN DENTRO DE ORGANIZACIONES. </w:t>
      </w:r>
    </w:p>
    <w:p w:rsidR="00F62BC4" w:rsidRDefault="00BD0188" w:rsidP="00C52307">
      <w:pPr>
        <w:spacing w:line="360" w:lineRule="auto"/>
        <w:ind w:firstLine="708"/>
        <w:jc w:val="both"/>
        <w:rPr>
          <w:rFonts w:ascii="Times New Roman" w:hAnsi="Times New Roman" w:cs="Times New Roman"/>
          <w:sz w:val="24"/>
          <w:szCs w:val="24"/>
        </w:rPr>
      </w:pPr>
      <w:r w:rsidRPr="00BD0188">
        <w:rPr>
          <w:rFonts w:ascii="Times New Roman" w:hAnsi="Times New Roman" w:cs="Times New Roman"/>
          <w:sz w:val="24"/>
          <w:szCs w:val="24"/>
        </w:rPr>
        <w:t xml:space="preserve">La comunicación ha estado presente en la vida desde el inicio, </w:t>
      </w:r>
      <w:r w:rsidR="000227B4">
        <w:rPr>
          <w:rFonts w:ascii="Times New Roman" w:hAnsi="Times New Roman" w:cs="Times New Roman"/>
          <w:sz w:val="24"/>
          <w:szCs w:val="24"/>
        </w:rPr>
        <w:t>ejemplo de ello es como se comunican hasta los organismo pluricelulares,</w:t>
      </w:r>
      <w:bookmarkStart w:id="0" w:name="_GoBack"/>
      <w:bookmarkEnd w:id="0"/>
      <w:r w:rsidR="000227B4">
        <w:rPr>
          <w:rFonts w:ascii="Times New Roman" w:hAnsi="Times New Roman" w:cs="Times New Roman"/>
          <w:sz w:val="24"/>
          <w:szCs w:val="24"/>
        </w:rPr>
        <w:t xml:space="preserve"> </w:t>
      </w:r>
      <w:r w:rsidRPr="00BD0188">
        <w:rPr>
          <w:rFonts w:ascii="Times New Roman" w:hAnsi="Times New Roman" w:cs="Times New Roman"/>
          <w:sz w:val="24"/>
          <w:szCs w:val="24"/>
        </w:rPr>
        <w:t xml:space="preserve">pero esta se ha desarrollado a mayor escala en los ser humanos, permitiéndoles desarrollarse hasta crear todo lo que hoy en día se conoce, </w:t>
      </w:r>
      <w:r>
        <w:rPr>
          <w:rFonts w:ascii="Times New Roman" w:hAnsi="Times New Roman" w:cs="Times New Roman"/>
          <w:sz w:val="24"/>
          <w:szCs w:val="24"/>
        </w:rPr>
        <w:t>la comunicación es el arma con la cual el hombre a logrado adquirir conocimiento</w:t>
      </w:r>
      <w:r w:rsidR="003F6348">
        <w:rPr>
          <w:rFonts w:ascii="Times New Roman" w:hAnsi="Times New Roman" w:cs="Times New Roman"/>
          <w:sz w:val="24"/>
          <w:szCs w:val="24"/>
        </w:rPr>
        <w:t xml:space="preserve"> y transmitir el mismo. Actualmente la comunicación sirve para garantizar el equilibrio y éxito de una organización, por esto cabe recalcar que la comunicación es la base para </w:t>
      </w:r>
      <w:r w:rsidR="00F62BC4">
        <w:rPr>
          <w:rFonts w:ascii="Times New Roman" w:hAnsi="Times New Roman" w:cs="Times New Roman"/>
          <w:sz w:val="24"/>
          <w:szCs w:val="24"/>
        </w:rPr>
        <w:t xml:space="preserve">que una organización este unida y esta crezca. Así como la comunicación hay otro aliando que </w:t>
      </w:r>
      <w:r w:rsidR="00CD0041">
        <w:rPr>
          <w:rFonts w:ascii="Times New Roman" w:hAnsi="Times New Roman" w:cs="Times New Roman"/>
          <w:sz w:val="24"/>
          <w:szCs w:val="24"/>
        </w:rPr>
        <w:t xml:space="preserve">permite que todo fluya con normalidad es la información. En el mercado donde operan estas organizaciones existe una competencia, </w:t>
      </w:r>
      <w:r w:rsidR="00C52307">
        <w:rPr>
          <w:rFonts w:ascii="Times New Roman" w:hAnsi="Times New Roman" w:cs="Times New Roman"/>
          <w:sz w:val="24"/>
          <w:szCs w:val="24"/>
        </w:rPr>
        <w:t xml:space="preserve">que se rige por la ley de la oferta y la demanda, </w:t>
      </w:r>
      <w:r w:rsidR="00CD0041">
        <w:rPr>
          <w:rFonts w:ascii="Times New Roman" w:hAnsi="Times New Roman" w:cs="Times New Roman"/>
          <w:sz w:val="24"/>
          <w:szCs w:val="24"/>
        </w:rPr>
        <w:t>pero esta no es una competencia perfect</w:t>
      </w:r>
      <w:r w:rsidR="00C52307">
        <w:rPr>
          <w:rFonts w:ascii="Times New Roman" w:hAnsi="Times New Roman" w:cs="Times New Roman"/>
          <w:sz w:val="24"/>
          <w:szCs w:val="24"/>
        </w:rPr>
        <w:t>a ya que por la variación de precios esta se convierte en una competencia imperfecta.</w:t>
      </w:r>
    </w:p>
    <w:p w:rsidR="00C52307" w:rsidRDefault="00C52307" w:rsidP="00C52307">
      <w:pPr>
        <w:spacing w:line="360" w:lineRule="auto"/>
        <w:ind w:left="1416" w:firstLine="708"/>
        <w:jc w:val="both"/>
        <w:rPr>
          <w:rFonts w:ascii="Times New Roman" w:hAnsi="Times New Roman" w:cs="Times New Roman"/>
          <w:i/>
          <w:iCs/>
          <w:color w:val="000000"/>
          <w:sz w:val="24"/>
          <w:szCs w:val="24"/>
          <w:shd w:val="clear" w:color="auto" w:fill="FFFFFF"/>
        </w:rPr>
      </w:pPr>
      <w:r w:rsidRPr="00C52307">
        <w:rPr>
          <w:rFonts w:ascii="Times New Roman" w:hAnsi="Times New Roman" w:cs="Times New Roman"/>
          <w:i/>
          <w:iCs/>
          <w:color w:val="000000"/>
          <w:sz w:val="24"/>
          <w:szCs w:val="24"/>
          <w:shd w:val="clear" w:color="auto" w:fill="FFFFFF"/>
        </w:rPr>
        <w:t xml:space="preserve">En la teoría del equilibrio general competitivo, la variación de los precios es la única expresión social del grado de </w:t>
      </w:r>
      <w:proofErr w:type="spellStart"/>
      <w:r w:rsidRPr="00C52307">
        <w:rPr>
          <w:rFonts w:ascii="Times New Roman" w:hAnsi="Times New Roman" w:cs="Times New Roman"/>
          <w:i/>
          <w:iCs/>
          <w:color w:val="000000"/>
          <w:sz w:val="24"/>
          <w:szCs w:val="24"/>
          <w:shd w:val="clear" w:color="auto" w:fill="FFFFFF"/>
        </w:rPr>
        <w:t>mútua</w:t>
      </w:r>
      <w:proofErr w:type="spellEnd"/>
      <w:r w:rsidRPr="00C52307">
        <w:rPr>
          <w:rFonts w:ascii="Times New Roman" w:hAnsi="Times New Roman" w:cs="Times New Roman"/>
          <w:i/>
          <w:iCs/>
          <w:color w:val="000000"/>
          <w:sz w:val="24"/>
          <w:szCs w:val="24"/>
          <w:shd w:val="clear" w:color="auto" w:fill="FFFFFF"/>
        </w:rPr>
        <w:t>. compatibilidad de las decisiones individuales, de la que se deriva la noción de equilibrio: un estado de la economía en el cual los precios no varían.</w:t>
      </w:r>
      <w:sdt>
        <w:sdtPr>
          <w:rPr>
            <w:rFonts w:ascii="Times New Roman" w:hAnsi="Times New Roman" w:cs="Times New Roman"/>
            <w:i/>
            <w:iCs/>
            <w:color w:val="000000"/>
            <w:sz w:val="24"/>
            <w:szCs w:val="24"/>
            <w:shd w:val="clear" w:color="auto" w:fill="FFFFFF"/>
          </w:rPr>
          <w:id w:val="1953819222"/>
          <w:citation/>
        </w:sdtPr>
        <w:sdtContent>
          <w:r>
            <w:rPr>
              <w:rFonts w:ascii="Times New Roman" w:hAnsi="Times New Roman" w:cs="Times New Roman"/>
              <w:i/>
              <w:iCs/>
              <w:color w:val="000000"/>
              <w:sz w:val="24"/>
              <w:szCs w:val="24"/>
              <w:shd w:val="clear" w:color="auto" w:fill="FFFFFF"/>
            </w:rPr>
            <w:fldChar w:fldCharType="begin"/>
          </w:r>
          <w:r>
            <w:rPr>
              <w:rFonts w:ascii="Times New Roman" w:hAnsi="Times New Roman" w:cs="Times New Roman"/>
              <w:i/>
              <w:iCs/>
              <w:color w:val="000000"/>
              <w:sz w:val="24"/>
              <w:szCs w:val="24"/>
              <w:shd w:val="clear" w:color="auto" w:fill="FFFFFF"/>
            </w:rPr>
            <w:instrText xml:space="preserve"> CITATION Car01 \l 2058 </w:instrText>
          </w:r>
          <w:r>
            <w:rPr>
              <w:rFonts w:ascii="Times New Roman" w:hAnsi="Times New Roman" w:cs="Times New Roman"/>
              <w:i/>
              <w:iCs/>
              <w:color w:val="000000"/>
              <w:sz w:val="24"/>
              <w:szCs w:val="24"/>
              <w:shd w:val="clear" w:color="auto" w:fill="FFFFFF"/>
            </w:rPr>
            <w:fldChar w:fldCharType="separate"/>
          </w:r>
          <w:r>
            <w:rPr>
              <w:rFonts w:ascii="Times New Roman" w:hAnsi="Times New Roman" w:cs="Times New Roman"/>
              <w:i/>
              <w:iCs/>
              <w:noProof/>
              <w:color w:val="000000"/>
              <w:sz w:val="24"/>
              <w:szCs w:val="24"/>
              <w:shd w:val="clear" w:color="auto" w:fill="FFFFFF"/>
            </w:rPr>
            <w:t xml:space="preserve"> </w:t>
          </w:r>
          <w:r w:rsidRPr="00C52307">
            <w:rPr>
              <w:rFonts w:ascii="Times New Roman" w:hAnsi="Times New Roman" w:cs="Times New Roman"/>
              <w:noProof/>
              <w:color w:val="000000"/>
              <w:sz w:val="24"/>
              <w:szCs w:val="24"/>
              <w:shd w:val="clear" w:color="auto" w:fill="FFFFFF"/>
            </w:rPr>
            <w:t>(Carlo Benetti, 2001)</w:t>
          </w:r>
          <w:r>
            <w:rPr>
              <w:rFonts w:ascii="Times New Roman" w:hAnsi="Times New Roman" w:cs="Times New Roman"/>
              <w:i/>
              <w:iCs/>
              <w:color w:val="000000"/>
              <w:sz w:val="24"/>
              <w:szCs w:val="24"/>
              <w:shd w:val="clear" w:color="auto" w:fill="FFFFFF"/>
            </w:rPr>
            <w:fldChar w:fldCharType="end"/>
          </w:r>
        </w:sdtContent>
      </w:sdt>
    </w:p>
    <w:p w:rsidR="00E37468" w:rsidRDefault="00E37468" w:rsidP="00E37468">
      <w:pPr>
        <w:spacing w:line="36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El equilibrio como tal no existe, por lo tanto, no existe una competencia perfecta, es aquí donde la comunicación es el arma para sacar a flote una organización, que tal vez, no tenga las mismas oportunidades frente a un monopolio que ya abarcado el mercado, la fuerza de producción, con la comunicación en una organización en primer lugar se garantizara la armonía dentro de la empresa, mayor eficacia en el trabajo pues s</w:t>
      </w:r>
      <w:r w:rsidR="000227B4">
        <w:rPr>
          <w:rFonts w:ascii="Times New Roman" w:hAnsi="Times New Roman" w:cs="Times New Roman"/>
          <w:color w:val="000000"/>
          <w:sz w:val="24"/>
          <w:szCs w:val="24"/>
          <w:shd w:val="clear" w:color="auto" w:fill="FFFFFF"/>
        </w:rPr>
        <w:t xml:space="preserve">e sienten parte del lugar donde trabajan, también como existe comunicación dentro de esta organización se conoce el </w:t>
      </w:r>
      <w:r w:rsidR="000227B4">
        <w:rPr>
          <w:rFonts w:ascii="Times New Roman" w:hAnsi="Times New Roman" w:cs="Times New Roman"/>
          <w:color w:val="000000"/>
          <w:sz w:val="24"/>
          <w:szCs w:val="24"/>
          <w:shd w:val="clear" w:color="auto" w:fill="FFFFFF"/>
        </w:rPr>
        <w:lastRenderedPageBreak/>
        <w:t>campo en el cual se esta luchando, cuales son las fortalezas y debilidades de esta, con esto la organización prepara una estrategia que definirá cuando atacar para obtener éxito.</w:t>
      </w:r>
    </w:p>
    <w:p w:rsidR="000227B4" w:rsidRDefault="000227B4" w:rsidP="00E3746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conclusión, los argumentos antes planteados demuestran al importante de la utilización de la comunicación y la correcta información para salir victorioso en la guerra que día a día se enfrenta en el mercado donde se encuentra todo menos una competencia perfecta en este lugar todo es permitido, así que es mejor conocer al enemigo y esperar el momento oportuno para atacar y vencer, todo esto puede ser posible con una correcta utilización de la comunicación. </w:t>
      </w:r>
    </w:p>
    <w:sdt>
      <w:sdtPr>
        <w:rPr>
          <w:lang w:val="es-ES"/>
        </w:rPr>
        <w:id w:val="-163311770"/>
        <w:docPartObj>
          <w:docPartGallery w:val="Bibliographies"/>
          <w:docPartUnique/>
        </w:docPartObj>
      </w:sdtPr>
      <w:sdtEndPr>
        <w:rPr>
          <w:rFonts w:asciiTheme="minorHAnsi" w:eastAsiaTheme="minorHAnsi" w:hAnsiTheme="minorHAnsi" w:cstheme="minorBidi"/>
          <w:color w:val="auto"/>
          <w:sz w:val="22"/>
          <w:szCs w:val="22"/>
          <w:lang w:val="es-MX" w:eastAsia="en-US"/>
        </w:rPr>
      </w:sdtEndPr>
      <w:sdtContent>
        <w:p w:rsidR="000227B4" w:rsidRDefault="000227B4">
          <w:pPr>
            <w:pStyle w:val="Ttulo1"/>
          </w:pPr>
          <w:r>
            <w:rPr>
              <w:lang w:val="es-ES"/>
            </w:rPr>
            <w:t>Bibliografía</w:t>
          </w:r>
        </w:p>
        <w:sdt>
          <w:sdtPr>
            <w:id w:val="111145805"/>
            <w:bibliography/>
          </w:sdtPr>
          <w:sdtContent>
            <w:p w:rsidR="000227B4" w:rsidRDefault="000227B4" w:rsidP="000227B4">
              <w:pPr>
                <w:pStyle w:val="Bibliografa"/>
                <w:ind w:left="720" w:hanging="720"/>
                <w:rPr>
                  <w:noProof/>
                  <w:sz w:val="24"/>
                  <w:szCs w:val="24"/>
                  <w:lang w:val="es-ES"/>
                </w:rPr>
              </w:pPr>
              <w:r>
                <w:fldChar w:fldCharType="begin"/>
              </w:r>
              <w:r>
                <w:instrText>BIBLIOGRAPHY</w:instrText>
              </w:r>
              <w:r>
                <w:fldChar w:fldCharType="separate"/>
              </w:r>
              <w:r>
                <w:rPr>
                  <w:noProof/>
                  <w:lang w:val="es-ES"/>
                </w:rPr>
                <w:t xml:space="preserve">Carlo Benetti. (2001). EL PROBLEMA DE LA VARIACIÓN DE LOS PRECIOS: LOS LÍMITES DE LA TEORÍA WALRASIANA. </w:t>
              </w:r>
              <w:r>
                <w:rPr>
                  <w:i/>
                  <w:iCs/>
                  <w:noProof/>
                  <w:lang w:val="es-ES"/>
                </w:rPr>
                <w:t>Cuadernos de Economía</w:t>
              </w:r>
              <w:r>
                <w:rPr>
                  <w:noProof/>
                  <w:lang w:val="es-ES"/>
                </w:rPr>
                <w:t>, 35.</w:t>
              </w:r>
            </w:p>
            <w:p w:rsidR="000227B4" w:rsidRDefault="000227B4" w:rsidP="000227B4">
              <w:r>
                <w:rPr>
                  <w:b/>
                  <w:bCs/>
                </w:rPr>
                <w:fldChar w:fldCharType="end"/>
              </w:r>
            </w:p>
          </w:sdtContent>
        </w:sdt>
      </w:sdtContent>
    </w:sdt>
    <w:p w:rsidR="000227B4" w:rsidRPr="00E37468" w:rsidRDefault="000227B4" w:rsidP="00E37468">
      <w:pPr>
        <w:spacing w:line="360" w:lineRule="auto"/>
        <w:ind w:firstLine="708"/>
        <w:jc w:val="both"/>
        <w:rPr>
          <w:rFonts w:ascii="Times New Roman" w:hAnsi="Times New Roman" w:cs="Times New Roman"/>
          <w:sz w:val="24"/>
          <w:szCs w:val="24"/>
        </w:rPr>
      </w:pPr>
    </w:p>
    <w:p w:rsidR="00C52307" w:rsidRDefault="00C52307" w:rsidP="00C52307">
      <w:pPr>
        <w:spacing w:line="360" w:lineRule="auto"/>
        <w:ind w:firstLine="708"/>
        <w:jc w:val="both"/>
        <w:rPr>
          <w:rFonts w:ascii="Times New Roman" w:hAnsi="Times New Roman" w:cs="Times New Roman"/>
          <w:sz w:val="24"/>
          <w:szCs w:val="24"/>
        </w:rPr>
      </w:pPr>
    </w:p>
    <w:p w:rsidR="00C52307" w:rsidRPr="00BD0188" w:rsidRDefault="00C52307" w:rsidP="00BD0188">
      <w:pPr>
        <w:spacing w:line="360" w:lineRule="auto"/>
        <w:jc w:val="both"/>
        <w:rPr>
          <w:rFonts w:ascii="Times New Roman" w:hAnsi="Times New Roman" w:cs="Times New Roman"/>
          <w:sz w:val="24"/>
          <w:szCs w:val="24"/>
        </w:rPr>
      </w:pPr>
    </w:p>
    <w:p w:rsidR="007C4DEE" w:rsidRDefault="007C4DEE"/>
    <w:sectPr w:rsidR="007C4DE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DEE"/>
    <w:rsid w:val="000227B4"/>
    <w:rsid w:val="003F6348"/>
    <w:rsid w:val="00747A05"/>
    <w:rsid w:val="007C4DEE"/>
    <w:rsid w:val="00B77C08"/>
    <w:rsid w:val="00BD0188"/>
    <w:rsid w:val="00C52307"/>
    <w:rsid w:val="00CD0041"/>
    <w:rsid w:val="00E37468"/>
    <w:rsid w:val="00F62B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5E3A5"/>
  <w15:chartTrackingRefBased/>
  <w15:docId w15:val="{B9AFD1B2-87B0-4B84-89C5-93FD40A36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227B4"/>
    <w:pPr>
      <w:keepNext/>
      <w:keepLines/>
      <w:spacing w:before="240" w:after="0"/>
      <w:outlineLvl w:val="0"/>
    </w:pPr>
    <w:rPr>
      <w:rFonts w:asciiTheme="majorHAnsi" w:eastAsiaTheme="majorEastAsia" w:hAnsiTheme="majorHAnsi" w:cstheme="majorBidi"/>
      <w:color w:val="2F5496" w:themeColor="accent1" w:themeShade="BF"/>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227B4"/>
    <w:rPr>
      <w:rFonts w:asciiTheme="majorHAnsi" w:eastAsiaTheme="majorEastAsia" w:hAnsiTheme="majorHAnsi" w:cstheme="majorBidi"/>
      <w:color w:val="2F5496" w:themeColor="accent1" w:themeShade="BF"/>
      <w:sz w:val="32"/>
      <w:szCs w:val="32"/>
      <w:lang w:eastAsia="es-MX"/>
    </w:rPr>
  </w:style>
  <w:style w:type="paragraph" w:styleId="Bibliografa">
    <w:name w:val="Bibliography"/>
    <w:basedOn w:val="Normal"/>
    <w:next w:val="Normal"/>
    <w:uiPriority w:val="37"/>
    <w:unhideWhenUsed/>
    <w:rsid w:val="000227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160859">
      <w:bodyDiv w:val="1"/>
      <w:marLeft w:val="0"/>
      <w:marRight w:val="0"/>
      <w:marTop w:val="0"/>
      <w:marBottom w:val="0"/>
      <w:divBdr>
        <w:top w:val="none" w:sz="0" w:space="0" w:color="auto"/>
        <w:left w:val="none" w:sz="0" w:space="0" w:color="auto"/>
        <w:bottom w:val="none" w:sz="0" w:space="0" w:color="auto"/>
        <w:right w:val="none" w:sz="0" w:space="0" w:color="auto"/>
      </w:divBdr>
    </w:div>
    <w:div w:id="2080980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Car01</b:Tag>
    <b:SourceType>JournalArticle</b:SourceType>
    <b:Guid>{FD9BF23C-1E84-4A49-BF0A-0274DFF0B601}</b:Guid>
    <b:Title>EL PROBLEMA DE LA VARIACIÓN DE LOS PRECIOS: LOS LÍMITES DE LA TEORÍA WALRASIANA</b:Title>
    <b:Year>2001</b:Year>
    <b:Author>
      <b:Author>
        <b:NameList>
          <b:Person>
            <b:Last>Carlo Benetti</b:Last>
          </b:Person>
        </b:NameList>
      </b:Author>
    </b:Author>
    <b:JournalName>Cuadernos de Economía</b:JournalName>
    <b:Pages>35</b:Pages>
    <b:RefOrder>1</b:RefOrder>
  </b:Source>
</b:Sources>
</file>

<file path=customXml/itemProps1.xml><?xml version="1.0" encoding="utf-8"?>
<ds:datastoreItem xmlns:ds="http://schemas.openxmlformats.org/officeDocument/2006/customXml" ds:itemID="{B06CBC83-BD08-41CC-9854-0BBDB374B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431</Words>
  <Characters>2373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 </cp:lastModifiedBy>
  <cp:revision>1</cp:revision>
  <dcterms:created xsi:type="dcterms:W3CDTF">2020-01-07T01:36:00Z</dcterms:created>
  <dcterms:modified xsi:type="dcterms:W3CDTF">2020-01-07T03:35:00Z</dcterms:modified>
</cp:coreProperties>
</file>