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2B97" w:rsidRPr="00132B97" w:rsidRDefault="00132B97" w:rsidP="00132B97">
      <w:pPr>
        <w:jc w:val="center"/>
        <w:rPr>
          <w:b/>
        </w:rPr>
      </w:pPr>
      <w:r w:rsidRPr="00132B97">
        <w:rPr>
          <w:b/>
        </w:rPr>
        <w:t>UNIVERSIDAD CENTRAL DEL ECUADOR</w:t>
      </w:r>
      <w:r w:rsidRPr="00132B97">
        <w:rPr>
          <w:b/>
        </w:rPr>
        <w:br/>
        <w:t>FACULTAD DE COMUNICACIÓN SOCIAL</w:t>
      </w:r>
      <w:r w:rsidRPr="00132B97">
        <w:rPr>
          <w:b/>
        </w:rPr>
        <w:br/>
        <w:t>COMUNICACIÓN INSTITUCIONAL</w:t>
      </w:r>
    </w:p>
    <w:p w:rsidR="00132B97" w:rsidRDefault="00132B97" w:rsidP="00132B97">
      <w:r w:rsidRPr="00B84285">
        <w:rPr>
          <w:b/>
        </w:rPr>
        <w:t>Nombre:</w:t>
      </w:r>
      <w:r>
        <w:t xml:space="preserve"> Jonathan Vera</w:t>
      </w:r>
      <w:r>
        <w:tab/>
      </w:r>
      <w:r>
        <w:tab/>
      </w:r>
      <w:r w:rsidRPr="00B84285">
        <w:rPr>
          <w:b/>
        </w:rPr>
        <w:t>Curso</w:t>
      </w:r>
      <w:r>
        <w:t>: 6 “A”</w:t>
      </w:r>
      <w:r>
        <w:tab/>
      </w:r>
      <w:r>
        <w:tab/>
      </w:r>
      <w:r w:rsidRPr="00B84285">
        <w:rPr>
          <w:b/>
        </w:rPr>
        <w:t>Fecha:</w:t>
      </w:r>
      <w:r>
        <w:t xml:space="preserve"> 06/10/2019</w:t>
      </w:r>
    </w:p>
    <w:p w:rsidR="00132B97" w:rsidRPr="00132B97" w:rsidRDefault="00132B97" w:rsidP="00880A26">
      <w:pPr>
        <w:jc w:val="both"/>
        <w:rPr>
          <w:b/>
        </w:rPr>
      </w:pPr>
      <w:r w:rsidRPr="00132B97">
        <w:rPr>
          <w:b/>
        </w:rPr>
        <w:t>Ingeniería en comunicación social</w:t>
      </w:r>
    </w:p>
    <w:p w:rsidR="00132B97" w:rsidRDefault="00132B97" w:rsidP="00880A26">
      <w:pPr>
        <w:jc w:val="both"/>
      </w:pPr>
      <w:r>
        <w:t>Ingeniería  es  una  racionalidad  práctica  que  aprovecha  todo  lo  que  se  encuentra  a</w:t>
      </w:r>
      <w:r>
        <w:t xml:space="preserve"> </w:t>
      </w:r>
      <w:r>
        <w:t>su  alcance  para  enfocar  un  problema  y  resolverlo  de  la  mejor  manera  posible</w:t>
      </w:r>
      <w:r>
        <w:t>.</w:t>
      </w:r>
    </w:p>
    <w:p w:rsidR="00132B97" w:rsidRDefault="00132B97" w:rsidP="00880A26">
      <w:pPr>
        <w:jc w:val="both"/>
      </w:pPr>
      <w:r>
        <w:t>La  Ingeniería  es</w:t>
      </w:r>
      <w:r>
        <w:t xml:space="preserve"> </w:t>
      </w:r>
      <w:r>
        <w:t>un ejercicio del contacto entre la necesidad, la observación, el conocimiento y sobre todo, la imaginación.</w:t>
      </w:r>
    </w:p>
    <w:p w:rsidR="00132B97" w:rsidRDefault="00132B97" w:rsidP="00880A26">
      <w:pPr>
        <w:jc w:val="both"/>
      </w:pPr>
      <w:r>
        <w:t xml:space="preserve">“Es </w:t>
      </w:r>
      <w:r>
        <w:t>aplicación  de  conocimiento  específico  delo  social,  sobre  lo  social,  y  para  lo  social,  a  la  invención,  perfeccionamiento  y  utilización  de  reglas  prácticas  para  construir  formas</w:t>
      </w:r>
      <w:r>
        <w:t xml:space="preserve"> </w:t>
      </w:r>
      <w:r>
        <w:t xml:space="preserve">de  compañía,  de  asociación  y  comunidad.  Una  perspectiva  amplia  que  considera  cualquier  tipo </w:t>
      </w:r>
      <w:r>
        <w:t xml:space="preserve"> de  conocimiento  social  como </w:t>
      </w:r>
      <w:r>
        <w:t>utilizable para la construcción de relaciones entre los individuos y los grupos que buscan convivir en un tiempo-espacio. Lo cual se complementa con la configuración  de operaciones para formar, fomentar, evolucionar, enriquecer, la vida en sociedad en general,</w:t>
      </w:r>
      <w:r>
        <w:t xml:space="preserve"> </w:t>
      </w:r>
      <w:r>
        <w:t>de  compañía  en  particular.  El  énfasis  está  en  la  relación  entre  el  conocimiento  social  y  las  formas  técnicas  de  construcción  de  la convivencia en sociedad</w:t>
      </w:r>
      <w:r>
        <w:t>” (Galindo J. (s/f)</w:t>
      </w:r>
    </w:p>
    <w:p w:rsidR="00132B97" w:rsidRDefault="00132B97" w:rsidP="00880A26">
      <w:pPr>
        <w:jc w:val="both"/>
      </w:pPr>
      <w:r>
        <w:t>También puede ser “La a</w:t>
      </w:r>
      <w:r>
        <w:t>plicación  de  principios  científicos  al  diseño  y  construcción  de  formas  de  asociación  y</w:t>
      </w:r>
      <w:r>
        <w:t xml:space="preserve"> </w:t>
      </w:r>
      <w:r>
        <w:t>comunidad  en  grupos  organizados.  Lo  cual  implica  la  creación  de  formas  de  asociación,  de  seguimiento,  del  contacto,  la</w:t>
      </w:r>
      <w:r>
        <w:t xml:space="preserve"> </w:t>
      </w:r>
      <w:r>
        <w:t>interacción,  el  vínculo,  la  conexión  y  la  comunicación.</w:t>
      </w:r>
    </w:p>
    <w:p w:rsidR="00132B97" w:rsidRDefault="00132B97" w:rsidP="00880A26">
      <w:pPr>
        <w:jc w:val="both"/>
      </w:pPr>
      <w:r>
        <w:t xml:space="preserve">La </w:t>
      </w:r>
      <w:r>
        <w:t>ingeniería</w:t>
      </w:r>
      <w:r>
        <w:t xml:space="preserve"> en comunicación social proviene desde la perspectiva</w:t>
      </w:r>
      <w:r>
        <w:t xml:space="preserve"> constructivista y de la cibernética según Jesús Galindo, ya que </w:t>
      </w:r>
      <w:r>
        <w:t>impulsa la construcción de una Ingeniería que no sólo tenga relación con las ciencias sociales, sino con el espacio de</w:t>
      </w:r>
      <w:r>
        <w:t xml:space="preserve"> </w:t>
      </w:r>
      <w:r>
        <w:t xml:space="preserve">reflexión  sobre  </w:t>
      </w:r>
      <w:r>
        <w:t>lo  social  en  diversos</w:t>
      </w:r>
      <w:r>
        <w:t xml:space="preserve"> ámbitos  y  desde  diversas  epistemologías.</w:t>
      </w:r>
    </w:p>
    <w:p w:rsidR="00132B97" w:rsidRDefault="00132B97" w:rsidP="00880A26">
      <w:pPr>
        <w:jc w:val="both"/>
      </w:pPr>
      <w:r>
        <w:t>El énfasis está en el aprovechamiento del conocimiento de lo social, en</w:t>
      </w:r>
      <w:r>
        <w:t xml:space="preserve"> </w:t>
      </w:r>
      <w:r>
        <w:t>este  caso  socio</w:t>
      </w:r>
      <w:r>
        <w:t xml:space="preserve"> </w:t>
      </w:r>
      <w:r>
        <w:t>cibernético,  para  la  construcción  de  vida  social  en  dos  sentidos  elementales,  la  asociación,  sin  afectividad,  como</w:t>
      </w:r>
      <w:r>
        <w:t xml:space="preserve"> </w:t>
      </w:r>
      <w:r>
        <w:t>centro  del  proceso  de  vinculación,  y  la  comunidad,  donde  el  afecto  es  el  eje  constructivo  de  la  sociabilidad.</w:t>
      </w:r>
    </w:p>
    <w:p w:rsidR="00132B97" w:rsidRPr="00132B97" w:rsidRDefault="00132B97" w:rsidP="00880A26">
      <w:pPr>
        <w:jc w:val="both"/>
        <w:rPr>
          <w:b/>
        </w:rPr>
      </w:pPr>
      <w:r w:rsidRPr="00132B97">
        <w:rPr>
          <w:b/>
        </w:rPr>
        <w:t>Jesús Galindo Cáceres</w:t>
      </w:r>
    </w:p>
    <w:p w:rsidR="00132B97" w:rsidRDefault="00132B97" w:rsidP="00880A26">
      <w:pPr>
        <w:jc w:val="both"/>
      </w:pPr>
      <w:r>
        <w:t xml:space="preserve">Mexicano. Doctor en Ciencias Sociales (1985), maestro en Lingüística (1983) y licenciado en comunicación (1978). Autor de 35 libros y más de trescientos cincuenta artículos publicados en catorce países de América y Europa. Promotor cultural en diversos proyectos desde 1972. Profesor universitario en Argentina, Brasil, Colombia, Perú, Ecuador, España y México desde 1975. </w:t>
      </w:r>
    </w:p>
    <w:p w:rsidR="00132B97" w:rsidRDefault="00132B97" w:rsidP="00880A26">
      <w:pPr>
        <w:jc w:val="both"/>
      </w:pPr>
    </w:p>
    <w:p w:rsidR="00132B97" w:rsidRDefault="00132B97" w:rsidP="00880A26">
      <w:pPr>
        <w:jc w:val="both"/>
      </w:pPr>
      <w:r>
        <w:t xml:space="preserve"> </w:t>
      </w:r>
    </w:p>
    <w:p w:rsidR="00132B97" w:rsidRDefault="00132B97" w:rsidP="00880A26">
      <w:pPr>
        <w:jc w:val="both"/>
      </w:pPr>
    </w:p>
    <w:p w:rsidR="00132B97" w:rsidRDefault="00132B97" w:rsidP="00880A26">
      <w:pPr>
        <w:jc w:val="both"/>
      </w:pPr>
      <w:r>
        <w:lastRenderedPageBreak/>
        <w:t>Fundador del doctorado en Análisis del Discurso y Semiótica de la Cultura, Escuela Nacional de Antropología e Historia (1996). Fundador del doctorado en Ciencias Sociales, Universidad de Colima (1997). Fundador del doctorado en Comunicación, Universidad Veracruzana (2001). Fundador del doctorado en Ciencias y Humanidades para el desarrollo Interdisciplinario,  Universidad Autónoma de Coahuila y Universidad Nacional Autónoma de México (2010).</w:t>
      </w:r>
    </w:p>
    <w:p w:rsidR="00132B97" w:rsidRDefault="00132B97" w:rsidP="00880A26">
      <w:pPr>
        <w:jc w:val="both"/>
      </w:pPr>
      <w:r>
        <w:t xml:space="preserve">Trabaja por ciclos programáticos de alrededor de siete años. El ciclo actual iniciado en el año de 2009 se titula “Hacia una Ingeniería en Comunicación Social”. Este nuevo programa de trabajo tiene diversas áreas de desarrollo.- El Deporte, la Promoción  y gestión Cultural, la </w:t>
      </w:r>
      <w:proofErr w:type="spellStart"/>
      <w:r>
        <w:t>Cibercultura</w:t>
      </w:r>
      <w:proofErr w:type="spellEnd"/>
      <w:r>
        <w:t xml:space="preserve"> y las redes sociales, las Relaciones familiares y de pareja, la Comunicación Estratégica, PYMES y Movimientos sociales y colectivos sociales.</w:t>
      </w:r>
    </w:p>
    <w:p w:rsidR="00132B97" w:rsidRDefault="00132B97" w:rsidP="00880A26">
      <w:pPr>
        <w:jc w:val="both"/>
      </w:pPr>
      <w:r>
        <w:t>Principio de Incertidumbre</w:t>
      </w:r>
    </w:p>
    <w:p w:rsidR="00132B97" w:rsidRDefault="00132B97" w:rsidP="00880A26">
      <w:pPr>
        <w:jc w:val="both"/>
      </w:pPr>
      <w:r w:rsidRPr="00132B97">
        <w:t xml:space="preserve">El principio de incertidumbre fue descubierto por </w:t>
      </w:r>
      <w:proofErr w:type="spellStart"/>
      <w:r w:rsidRPr="00132B97">
        <w:t>Heisenberg</w:t>
      </w:r>
      <w:proofErr w:type="spellEnd"/>
      <w:r w:rsidRPr="00132B97">
        <w:t xml:space="preserve"> en 1927 y es fundamental en física cuántica.</w:t>
      </w:r>
      <w:r>
        <w:t xml:space="preserve"> E</w:t>
      </w:r>
      <w:r>
        <w:t>l simple hecho de observar una partícula subatómica, como un electrón, alterará su estado. Este fenómeno impedirá que sepamos con exactitud dónde se encuentra y cómo se mueve.</w:t>
      </w:r>
    </w:p>
    <w:p w:rsidR="00132B97" w:rsidRDefault="00132B97" w:rsidP="00880A26">
      <w:pPr>
        <w:jc w:val="both"/>
      </w:pPr>
      <w:r>
        <w:t>Gracias a sus trabajos, se desarrolló la física atómica moderna.</w:t>
      </w:r>
    </w:p>
    <w:p w:rsidR="00132B97" w:rsidRDefault="00132B97" w:rsidP="00880A26">
      <w:pPr>
        <w:jc w:val="both"/>
      </w:pPr>
      <w:r>
        <w:t>Aquí una de sus frases: «Lo que observamos no es la naturaleza en sí misma, sino la naturaleza expuesta a nuestro método de cuestionamiento».</w:t>
      </w:r>
    </w:p>
    <w:p w:rsidR="00132B97" w:rsidRPr="00132B97" w:rsidRDefault="00132B97" w:rsidP="00880A26">
      <w:pPr>
        <w:jc w:val="both"/>
        <w:rPr>
          <w:b/>
        </w:rPr>
      </w:pPr>
      <w:r>
        <w:rPr>
          <w:b/>
        </w:rPr>
        <w:t>E</w:t>
      </w:r>
      <w:r w:rsidRPr="00132B97">
        <w:rPr>
          <w:b/>
        </w:rPr>
        <w:t>jemplo</w:t>
      </w:r>
    </w:p>
    <w:p w:rsidR="00132B97" w:rsidRDefault="00132B97" w:rsidP="00880A26">
      <w:pPr>
        <w:jc w:val="both"/>
      </w:pPr>
      <w:r>
        <w:t>El científico es como una persona ciega que utiliza un balón medicinal para saber a qué distancia está un taburete y cuál es su posición. Va lanzando la pelota a todas partes hasta q</w:t>
      </w:r>
      <w:r>
        <w:t>ue finalmente golpea el objeto.</w:t>
      </w:r>
    </w:p>
    <w:p w:rsidR="00880A26" w:rsidRDefault="00132B97" w:rsidP="00880A26">
      <w:pPr>
        <w:jc w:val="both"/>
      </w:pPr>
      <w:r>
        <w:t>Pero ese balón es tan fuerte que lo que consigue es golpear el taburete y cambiarlo de lugar. Podremos medir la distancia, sin embargo ya no sabremos realmente dónde se encontraba el objeto.</w:t>
      </w:r>
    </w:p>
    <w:sdt>
      <w:sdtPr>
        <w:id w:val="-1227291757"/>
        <w:docPartObj>
          <w:docPartGallery w:val="Bibliographies"/>
          <w:docPartUnique/>
        </w:docPartObj>
      </w:sdtPr>
      <w:sdtEndPr>
        <w:rPr>
          <w:rFonts w:ascii="Times New Roman" w:eastAsiaTheme="minorHAnsi" w:hAnsi="Times New Roman" w:cstheme="minorBidi"/>
          <w:color w:val="auto"/>
          <w:sz w:val="24"/>
          <w:szCs w:val="22"/>
          <w:lang w:eastAsia="en-US"/>
        </w:rPr>
      </w:sdtEndPr>
      <w:sdtContent>
        <w:p w:rsidR="00880A26" w:rsidRPr="00880A26" w:rsidRDefault="00880A26">
          <w:pPr>
            <w:pStyle w:val="Ttulo1"/>
            <w:rPr>
              <w:rFonts w:ascii="Times New Roman" w:hAnsi="Times New Roman" w:cs="Times New Roman"/>
              <w:b/>
              <w:color w:val="auto"/>
              <w:sz w:val="28"/>
            </w:rPr>
          </w:pPr>
          <w:r w:rsidRPr="00880A26">
            <w:rPr>
              <w:rFonts w:ascii="Times New Roman" w:hAnsi="Times New Roman" w:cs="Times New Roman"/>
              <w:b/>
              <w:color w:val="auto"/>
              <w:sz w:val="28"/>
            </w:rPr>
            <w:t>Bibliografía</w:t>
          </w:r>
        </w:p>
        <w:sdt>
          <w:sdtPr>
            <w:id w:val="1224805344"/>
            <w:bibliography/>
          </w:sdtPr>
          <w:sdtContent>
            <w:p w:rsidR="00880A26" w:rsidRDefault="00880A26" w:rsidP="00880A26">
              <w:pPr>
                <w:pStyle w:val="Bibliografa"/>
                <w:ind w:left="720" w:hanging="720"/>
                <w:rPr>
                  <w:noProof/>
                  <w:szCs w:val="24"/>
                </w:rPr>
              </w:pPr>
              <w:r>
                <w:fldChar w:fldCharType="begin"/>
              </w:r>
              <w:r>
                <w:instrText>BIBLIOGRAPHY</w:instrText>
              </w:r>
              <w:r>
                <w:fldChar w:fldCharType="separate"/>
              </w:r>
              <w:r>
                <w:rPr>
                  <w:noProof/>
                </w:rPr>
                <w:t xml:space="preserve">Cáceres, J. G. (s.f.). </w:t>
              </w:r>
              <w:r>
                <w:rPr>
                  <w:i/>
                  <w:iCs/>
                  <w:noProof/>
                </w:rPr>
                <w:t>GESTIÓN CULTURAL E INGENIERÍA EN COMUNICACIÓN SOCIAL.</w:t>
              </w:r>
              <w:r>
                <w:rPr>
                  <w:noProof/>
                </w:rPr>
                <w:t xml:space="preserve"> Puebla: Benemérita Universidad Autónoma de Puebla (México).</w:t>
              </w:r>
            </w:p>
            <w:p w:rsidR="00880A26" w:rsidRDefault="00880A26" w:rsidP="00880A26">
              <w:pPr>
                <w:pStyle w:val="Bibliografa"/>
                <w:ind w:left="720" w:hanging="720"/>
                <w:rPr>
                  <w:noProof/>
                </w:rPr>
              </w:pPr>
              <w:r>
                <w:rPr>
                  <w:i/>
                  <w:iCs/>
                  <w:noProof/>
                </w:rPr>
                <w:t>La mente es maravillosa</w:t>
              </w:r>
              <w:r>
                <w:rPr>
                  <w:noProof/>
                </w:rPr>
                <w:t>. (23 de Diciembre de 2018). Obtenido de La mente es maravillosa: https://lamenteesmaravillosa.com/el-principio-de-incertidumbre-de-heisenberg/</w:t>
              </w:r>
            </w:p>
            <w:p w:rsidR="00880A26" w:rsidRDefault="00880A26" w:rsidP="00880A26">
              <w:r>
                <w:rPr>
                  <w:b/>
                  <w:bCs/>
                </w:rPr>
                <w:fldChar w:fldCharType="end"/>
              </w:r>
            </w:p>
          </w:sdtContent>
        </w:sdt>
      </w:sdtContent>
    </w:sdt>
    <w:p w:rsidR="00880A26" w:rsidRDefault="00880A26" w:rsidP="00880A26">
      <w:pPr>
        <w:jc w:val="both"/>
      </w:pPr>
      <w:bookmarkStart w:id="0" w:name="_GoBack"/>
      <w:bookmarkEnd w:id="0"/>
    </w:p>
    <w:sectPr w:rsidR="00880A2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2B97"/>
    <w:rsid w:val="00132B97"/>
    <w:rsid w:val="005C185A"/>
    <w:rsid w:val="00880A26"/>
    <w:rsid w:val="009A00AF"/>
    <w:rsid w:val="00B84285"/>
    <w:rsid w:val="00E236A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F5C75F-CFA9-4DD1-B7AB-718A4D365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880A26"/>
    <w:pPr>
      <w:keepNext/>
      <w:keepLines/>
      <w:spacing w:before="240" w:after="0"/>
      <w:outlineLvl w:val="0"/>
    </w:pPr>
    <w:rPr>
      <w:rFonts w:asciiTheme="majorHAnsi" w:eastAsiaTheme="majorEastAsia" w:hAnsiTheme="majorHAnsi" w:cstheme="majorBidi"/>
      <w:color w:val="2E74B5" w:themeColor="accent1" w:themeShade="BF"/>
      <w:sz w:val="32"/>
      <w:szCs w:val="32"/>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80A26"/>
    <w:rPr>
      <w:rFonts w:asciiTheme="majorHAnsi" w:eastAsiaTheme="majorEastAsia" w:hAnsiTheme="majorHAnsi" w:cstheme="majorBidi"/>
      <w:color w:val="2E74B5" w:themeColor="accent1" w:themeShade="BF"/>
      <w:sz w:val="32"/>
      <w:szCs w:val="32"/>
      <w:lang w:eastAsia="es-ES"/>
    </w:rPr>
  </w:style>
  <w:style w:type="paragraph" w:styleId="Bibliografa">
    <w:name w:val="Bibliography"/>
    <w:basedOn w:val="Normal"/>
    <w:next w:val="Normal"/>
    <w:uiPriority w:val="37"/>
    <w:unhideWhenUsed/>
    <w:rsid w:val="00880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4801422">
      <w:bodyDiv w:val="1"/>
      <w:marLeft w:val="0"/>
      <w:marRight w:val="0"/>
      <w:marTop w:val="0"/>
      <w:marBottom w:val="0"/>
      <w:divBdr>
        <w:top w:val="none" w:sz="0" w:space="0" w:color="auto"/>
        <w:left w:val="none" w:sz="0" w:space="0" w:color="auto"/>
        <w:bottom w:val="none" w:sz="0" w:space="0" w:color="auto"/>
        <w:right w:val="none" w:sz="0" w:space="0" w:color="auto"/>
      </w:divBdr>
    </w:div>
    <w:div w:id="1707758008">
      <w:bodyDiv w:val="1"/>
      <w:marLeft w:val="0"/>
      <w:marRight w:val="0"/>
      <w:marTop w:val="0"/>
      <w:marBottom w:val="0"/>
      <w:divBdr>
        <w:top w:val="none" w:sz="0" w:space="0" w:color="auto"/>
        <w:left w:val="none" w:sz="0" w:space="0" w:color="auto"/>
        <w:bottom w:val="none" w:sz="0" w:space="0" w:color="auto"/>
        <w:right w:val="none" w:sz="0" w:space="0" w:color="auto"/>
      </w:divBdr>
    </w:div>
    <w:div w:id="1767655324">
      <w:bodyDiv w:val="1"/>
      <w:marLeft w:val="0"/>
      <w:marRight w:val="0"/>
      <w:marTop w:val="0"/>
      <w:marBottom w:val="0"/>
      <w:divBdr>
        <w:top w:val="none" w:sz="0" w:space="0" w:color="auto"/>
        <w:left w:val="none" w:sz="0" w:space="0" w:color="auto"/>
        <w:bottom w:val="none" w:sz="0" w:space="0" w:color="auto"/>
        <w:right w:val="none" w:sz="0" w:space="0" w:color="auto"/>
      </w:divBdr>
    </w:div>
    <w:div w:id="1882589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Các</b:Tag>
    <b:SourceType>Report</b:SourceType>
    <b:Guid>{19D6AB61-28B5-4E97-8A46-59FF22383B27}</b:Guid>
    <b:Author>
      <b:Author>
        <b:NameList>
          <b:Person>
            <b:Last>Cáceres</b:Last>
            <b:First>Jesús</b:First>
            <b:Middle>Galindo</b:Middle>
          </b:Person>
        </b:NameList>
      </b:Author>
    </b:Author>
    <b:Title>GESTIÓN CULTURAL E INGENIERÍA EN COMUNICACIÓN SOCIAL</b:Title>
    <b:City>Puebla</b:City>
    <b:Publisher>Benemérita Universidad Autónoma de Puebla (México)</b:Publisher>
    <b:RefOrder>1</b:RefOrder>
  </b:Source>
  <b:Source>
    <b:Tag>Lam18</b:Tag>
    <b:SourceType>InternetSite</b:SourceType>
    <b:Guid>{944858B9-46FC-445C-B717-E3FEB26FA027}</b:Guid>
    <b:Title>La mente es maravillosa</b:Title>
    <b:Year>2018</b:Year>
    <b:InternetSiteTitle>La mente es maravillosa</b:InternetSiteTitle>
    <b:Month>Diciembre</b:Month>
    <b:Day>23</b:Day>
    <b:URL>https://lamenteesmaravillosa.com/el-principio-de-incertidumbre-de-heisenberg/</b:URL>
    <b:RefOrder>2</b:RefOrder>
  </b:Source>
</b:Sources>
</file>

<file path=customXml/itemProps1.xml><?xml version="1.0" encoding="utf-8"?>
<ds:datastoreItem xmlns:ds="http://schemas.openxmlformats.org/officeDocument/2006/customXml" ds:itemID="{92A9F308-DC73-4E01-8B1E-274CAC5C6C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744</Words>
  <Characters>4095</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2019-10-06T16:40:00Z</dcterms:created>
  <dcterms:modified xsi:type="dcterms:W3CDTF">2019-10-06T16:40:00Z</dcterms:modified>
</cp:coreProperties>
</file>