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257" w:rsidRPr="00B64E58" w:rsidRDefault="00B64E58" w:rsidP="002424B3">
      <w:pPr>
        <w:spacing w:line="360" w:lineRule="auto"/>
        <w:jc w:val="both"/>
        <w:rPr>
          <w:rFonts w:ascii="Times New Roman" w:hAnsi="Times New Roman" w:cs="Times New Roman"/>
          <w:sz w:val="24"/>
          <w:szCs w:val="24"/>
        </w:rPr>
      </w:pPr>
      <w:r w:rsidRPr="00B64E58">
        <w:rPr>
          <w:rFonts w:ascii="Times New Roman" w:hAnsi="Times New Roman" w:cs="Times New Roman"/>
          <w:sz w:val="24"/>
          <w:szCs w:val="24"/>
        </w:rPr>
        <w:t>Nombre: Diana Carrera</w:t>
      </w:r>
    </w:p>
    <w:p w:rsidR="00B64E58" w:rsidRPr="00B64E58" w:rsidRDefault="00B64E58" w:rsidP="002424B3">
      <w:pPr>
        <w:spacing w:line="360" w:lineRule="auto"/>
        <w:jc w:val="both"/>
        <w:rPr>
          <w:rFonts w:ascii="Times New Roman" w:hAnsi="Times New Roman" w:cs="Times New Roman"/>
          <w:sz w:val="24"/>
          <w:szCs w:val="24"/>
        </w:rPr>
      </w:pPr>
      <w:r w:rsidRPr="00B64E58">
        <w:rPr>
          <w:rFonts w:ascii="Times New Roman" w:hAnsi="Times New Roman" w:cs="Times New Roman"/>
          <w:sz w:val="24"/>
          <w:szCs w:val="24"/>
        </w:rPr>
        <w:t>Curso: 6 A</w:t>
      </w:r>
    </w:p>
    <w:p w:rsidR="00B64E58" w:rsidRPr="00B64E58" w:rsidRDefault="00B64E58" w:rsidP="002424B3">
      <w:pPr>
        <w:spacing w:line="360" w:lineRule="auto"/>
        <w:jc w:val="center"/>
        <w:rPr>
          <w:rFonts w:ascii="Times New Roman" w:hAnsi="Times New Roman" w:cs="Times New Roman"/>
          <w:sz w:val="24"/>
          <w:szCs w:val="24"/>
        </w:rPr>
      </w:pPr>
      <w:r w:rsidRPr="00B64E58">
        <w:rPr>
          <w:rFonts w:ascii="Times New Roman" w:hAnsi="Times New Roman" w:cs="Times New Roman"/>
          <w:sz w:val="24"/>
          <w:szCs w:val="24"/>
        </w:rPr>
        <w:t>Actividad Nº2</w:t>
      </w:r>
    </w:p>
    <w:p w:rsidR="00B64E58" w:rsidRPr="00397C5E" w:rsidRDefault="00B64E58" w:rsidP="002424B3">
      <w:pPr>
        <w:spacing w:line="360" w:lineRule="auto"/>
        <w:jc w:val="both"/>
        <w:rPr>
          <w:rFonts w:ascii="Times New Roman" w:hAnsi="Times New Roman" w:cs="Times New Roman"/>
          <w:b/>
          <w:sz w:val="24"/>
          <w:szCs w:val="24"/>
          <w:shd w:val="clear" w:color="auto" w:fill="FFFFFF"/>
        </w:rPr>
      </w:pPr>
      <w:r w:rsidRPr="00397C5E">
        <w:rPr>
          <w:rFonts w:ascii="Times New Roman" w:hAnsi="Times New Roman" w:cs="Times New Roman"/>
          <w:b/>
          <w:sz w:val="24"/>
          <w:szCs w:val="24"/>
          <w:shd w:val="clear" w:color="auto" w:fill="FFFFFF"/>
        </w:rPr>
        <w:t>¿Qué es ingeniería en comunicación social?</w:t>
      </w:r>
    </w:p>
    <w:p w:rsidR="00946A03" w:rsidRDefault="00B64E58" w:rsidP="002424B3">
      <w:pPr>
        <w:spacing w:line="360" w:lineRule="auto"/>
        <w:ind w:firstLine="709"/>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En el texto “Gestión Cultural e ingeniería en comunicación social ¿Qué es gestión cultural y como puede incidir la participación ciudadana en la cultura” propuesto por Jesús Galindo Cáceres , se hace una comparación con los Ingenieros</w:t>
      </w:r>
      <w:r w:rsidR="00860F1E">
        <w:rPr>
          <w:rFonts w:ascii="Times New Roman" w:hAnsi="Times New Roman" w:cs="Times New Roman"/>
          <w:sz w:val="24"/>
          <w:szCs w:val="24"/>
          <w:shd w:val="clear" w:color="auto" w:fill="FFFFFF"/>
        </w:rPr>
        <w:t xml:space="preserve"> Civiles para mostrar como aprenderían los </w:t>
      </w:r>
      <w:r>
        <w:rPr>
          <w:rFonts w:ascii="Times New Roman" w:hAnsi="Times New Roman" w:cs="Times New Roman"/>
          <w:sz w:val="24"/>
          <w:szCs w:val="24"/>
          <w:shd w:val="clear" w:color="auto" w:fill="FFFFFF"/>
        </w:rPr>
        <w:t xml:space="preserve"> </w:t>
      </w:r>
      <w:r w:rsidR="00860F1E">
        <w:rPr>
          <w:rFonts w:ascii="Times New Roman" w:hAnsi="Times New Roman" w:cs="Times New Roman"/>
          <w:sz w:val="24"/>
          <w:szCs w:val="24"/>
          <w:shd w:val="clear" w:color="auto" w:fill="FFFFFF"/>
        </w:rPr>
        <w:t>Ingenieros</w:t>
      </w:r>
      <w:r>
        <w:rPr>
          <w:rFonts w:ascii="Times New Roman" w:hAnsi="Times New Roman" w:cs="Times New Roman"/>
          <w:sz w:val="24"/>
          <w:szCs w:val="24"/>
          <w:shd w:val="clear" w:color="auto" w:fill="FFFFFF"/>
        </w:rPr>
        <w:t xml:space="preserve"> en Comunicación </w:t>
      </w:r>
      <w:r w:rsidR="00860F1E">
        <w:rPr>
          <w:rFonts w:ascii="Times New Roman" w:hAnsi="Times New Roman" w:cs="Times New Roman"/>
          <w:sz w:val="24"/>
          <w:szCs w:val="24"/>
          <w:shd w:val="clear" w:color="auto" w:fill="FFFFFF"/>
        </w:rPr>
        <w:t xml:space="preserve"> Social  nos dice “…</w:t>
      </w:r>
      <w:r w:rsidR="00860F1E" w:rsidRPr="00860F1E">
        <w:rPr>
          <w:rFonts w:ascii="Times New Roman" w:hAnsi="Times New Roman" w:cs="Times New Roman"/>
          <w:sz w:val="24"/>
          <w:szCs w:val="24"/>
          <w:shd w:val="clear" w:color="auto" w:fill="FFFFFF"/>
        </w:rPr>
        <w:t xml:space="preserve">nosotros  como  Ingenieros  Sociales  podemos  aprender  delos constructores </w:t>
      </w:r>
      <w:proofErr w:type="gramStart"/>
      <w:r w:rsidR="00860F1E" w:rsidRPr="00860F1E">
        <w:rPr>
          <w:rFonts w:ascii="Times New Roman" w:hAnsi="Times New Roman" w:cs="Times New Roman"/>
          <w:sz w:val="24"/>
          <w:szCs w:val="24"/>
          <w:shd w:val="clear" w:color="auto" w:fill="FFFFFF"/>
        </w:rPr>
        <w:t>de</w:t>
      </w:r>
      <w:proofErr w:type="gramEnd"/>
      <w:r w:rsidR="00860F1E" w:rsidRPr="00860F1E">
        <w:rPr>
          <w:rFonts w:ascii="Times New Roman" w:hAnsi="Times New Roman" w:cs="Times New Roman"/>
          <w:sz w:val="24"/>
          <w:szCs w:val="24"/>
          <w:shd w:val="clear" w:color="auto" w:fill="FFFFFF"/>
        </w:rPr>
        <w:t xml:space="preserve"> imperios, de los formadores de la cultura y la civilización a través de la historia</w:t>
      </w:r>
      <w:r w:rsidR="00860F1E">
        <w:rPr>
          <w:rFonts w:ascii="Times New Roman" w:hAnsi="Times New Roman" w:cs="Times New Roman"/>
          <w:sz w:val="24"/>
          <w:szCs w:val="24"/>
          <w:shd w:val="clear" w:color="auto" w:fill="FFFFFF"/>
        </w:rPr>
        <w:t>”</w:t>
      </w:r>
      <w:sdt>
        <w:sdtPr>
          <w:rPr>
            <w:rFonts w:ascii="Times New Roman" w:hAnsi="Times New Roman" w:cs="Times New Roman"/>
            <w:sz w:val="24"/>
            <w:szCs w:val="24"/>
            <w:shd w:val="clear" w:color="auto" w:fill="FFFFFF"/>
          </w:rPr>
          <w:id w:val="-513157741"/>
          <w:citation/>
        </w:sdtPr>
        <w:sdtContent>
          <w:r w:rsidR="00860F1E">
            <w:rPr>
              <w:rFonts w:ascii="Times New Roman" w:hAnsi="Times New Roman" w:cs="Times New Roman"/>
              <w:sz w:val="24"/>
              <w:szCs w:val="24"/>
              <w:shd w:val="clear" w:color="auto" w:fill="FFFFFF"/>
            </w:rPr>
            <w:fldChar w:fldCharType="begin"/>
          </w:r>
          <w:r w:rsidR="00946A03">
            <w:rPr>
              <w:rFonts w:ascii="Times New Roman" w:hAnsi="Times New Roman" w:cs="Times New Roman"/>
              <w:sz w:val="24"/>
              <w:szCs w:val="24"/>
              <w:shd w:val="clear" w:color="auto" w:fill="FFFFFF"/>
            </w:rPr>
            <w:instrText xml:space="preserve">CITATION Các10 \p 1 \l 3082 </w:instrText>
          </w:r>
          <w:r w:rsidR="00860F1E">
            <w:rPr>
              <w:rFonts w:ascii="Times New Roman" w:hAnsi="Times New Roman" w:cs="Times New Roman"/>
              <w:sz w:val="24"/>
              <w:szCs w:val="24"/>
              <w:shd w:val="clear" w:color="auto" w:fill="FFFFFF"/>
            </w:rPr>
            <w:fldChar w:fldCharType="separate"/>
          </w:r>
          <w:r w:rsidR="00946A03">
            <w:rPr>
              <w:rFonts w:ascii="Times New Roman" w:hAnsi="Times New Roman" w:cs="Times New Roman"/>
              <w:noProof/>
              <w:sz w:val="24"/>
              <w:szCs w:val="24"/>
              <w:shd w:val="clear" w:color="auto" w:fill="FFFFFF"/>
            </w:rPr>
            <w:t xml:space="preserve"> </w:t>
          </w:r>
          <w:r w:rsidR="00946A03" w:rsidRPr="00946A03">
            <w:rPr>
              <w:rFonts w:ascii="Times New Roman" w:hAnsi="Times New Roman" w:cs="Times New Roman"/>
              <w:noProof/>
              <w:sz w:val="24"/>
              <w:szCs w:val="24"/>
              <w:shd w:val="clear" w:color="auto" w:fill="FFFFFF"/>
            </w:rPr>
            <w:t>(Cáceres, 2010, pág. 1)</w:t>
          </w:r>
          <w:r w:rsidR="00860F1E">
            <w:rPr>
              <w:rFonts w:ascii="Times New Roman" w:hAnsi="Times New Roman" w:cs="Times New Roman"/>
              <w:sz w:val="24"/>
              <w:szCs w:val="24"/>
              <w:shd w:val="clear" w:color="auto" w:fill="FFFFFF"/>
            </w:rPr>
            <w:fldChar w:fldCharType="end"/>
          </w:r>
        </w:sdtContent>
      </w:sdt>
      <w:r w:rsidR="00946A03">
        <w:rPr>
          <w:rFonts w:ascii="Times New Roman" w:hAnsi="Times New Roman" w:cs="Times New Roman"/>
          <w:sz w:val="24"/>
          <w:szCs w:val="24"/>
          <w:shd w:val="clear" w:color="auto" w:fill="FFFFFF"/>
        </w:rPr>
        <w:t xml:space="preserve"> </w:t>
      </w:r>
    </w:p>
    <w:p w:rsidR="00946A03" w:rsidRDefault="00946A03" w:rsidP="002424B3">
      <w:pPr>
        <w:spacing w:line="360" w:lineRule="auto"/>
        <w:ind w:firstLine="709"/>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En este mismo texto nos da dos definiciones:</w:t>
      </w:r>
    </w:p>
    <w:p w:rsidR="002424B3" w:rsidRDefault="00946A03" w:rsidP="002424B3">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“Es la </w:t>
      </w:r>
      <w:r w:rsidRPr="00946A03">
        <w:rPr>
          <w:rFonts w:ascii="Times New Roman" w:hAnsi="Times New Roman" w:cs="Times New Roman"/>
          <w:sz w:val="24"/>
          <w:szCs w:val="24"/>
        </w:rPr>
        <w:t>aplicación  de  conocimiento  específico  de</w:t>
      </w:r>
      <w:r>
        <w:rPr>
          <w:rFonts w:ascii="Times New Roman" w:hAnsi="Times New Roman" w:cs="Times New Roman"/>
          <w:sz w:val="24"/>
          <w:szCs w:val="24"/>
        </w:rPr>
        <w:t xml:space="preserve"> </w:t>
      </w:r>
      <w:r w:rsidRPr="00946A03">
        <w:rPr>
          <w:rFonts w:ascii="Times New Roman" w:hAnsi="Times New Roman" w:cs="Times New Roman"/>
          <w:sz w:val="24"/>
          <w:szCs w:val="24"/>
        </w:rPr>
        <w:t>lo  social,  sobre  lo  social,  y  para  lo  social,  a  la  invención,  perfeccionamiento  y  utilización  de  reglas  prácticas  para  construir  formas</w:t>
      </w:r>
      <w:r>
        <w:rPr>
          <w:rFonts w:ascii="Times New Roman" w:hAnsi="Times New Roman" w:cs="Times New Roman"/>
          <w:sz w:val="24"/>
          <w:szCs w:val="24"/>
        </w:rPr>
        <w:t xml:space="preserve"> </w:t>
      </w:r>
      <w:r w:rsidRPr="00946A03">
        <w:rPr>
          <w:rFonts w:ascii="Times New Roman" w:hAnsi="Times New Roman" w:cs="Times New Roman"/>
          <w:sz w:val="24"/>
          <w:szCs w:val="24"/>
        </w:rPr>
        <w:t xml:space="preserve">de  compañía, </w:t>
      </w:r>
      <w:r>
        <w:rPr>
          <w:rFonts w:ascii="Times New Roman" w:hAnsi="Times New Roman" w:cs="Times New Roman"/>
          <w:sz w:val="24"/>
          <w:szCs w:val="24"/>
        </w:rPr>
        <w:t xml:space="preserve"> de  asociación  y  comunidad.”</w:t>
      </w:r>
      <w:sdt>
        <w:sdtPr>
          <w:rPr>
            <w:rFonts w:ascii="Times New Roman" w:hAnsi="Times New Roman" w:cs="Times New Roman"/>
            <w:sz w:val="24"/>
            <w:szCs w:val="24"/>
          </w:rPr>
          <w:id w:val="225420263"/>
          <w:citation/>
        </w:sdtPr>
        <w:sdtContent>
          <w:r>
            <w:rPr>
              <w:rFonts w:ascii="Times New Roman" w:hAnsi="Times New Roman" w:cs="Times New Roman"/>
              <w:sz w:val="24"/>
              <w:szCs w:val="24"/>
            </w:rPr>
            <w:fldChar w:fldCharType="begin"/>
          </w:r>
          <w:r w:rsidR="002424B3">
            <w:rPr>
              <w:rFonts w:ascii="Times New Roman" w:hAnsi="Times New Roman" w:cs="Times New Roman"/>
              <w:sz w:val="24"/>
              <w:szCs w:val="24"/>
            </w:rPr>
            <w:instrText xml:space="preserve">CITATION Các10 \p 1 \l 3082 </w:instrText>
          </w:r>
          <w:r>
            <w:rPr>
              <w:rFonts w:ascii="Times New Roman" w:hAnsi="Times New Roman" w:cs="Times New Roman"/>
              <w:sz w:val="24"/>
              <w:szCs w:val="24"/>
            </w:rPr>
            <w:fldChar w:fldCharType="separate"/>
          </w:r>
          <w:r w:rsidR="002424B3">
            <w:rPr>
              <w:rFonts w:ascii="Times New Roman" w:hAnsi="Times New Roman" w:cs="Times New Roman"/>
              <w:noProof/>
              <w:sz w:val="24"/>
              <w:szCs w:val="24"/>
            </w:rPr>
            <w:t xml:space="preserve"> </w:t>
          </w:r>
          <w:r w:rsidR="002424B3" w:rsidRPr="002424B3">
            <w:rPr>
              <w:rFonts w:ascii="Times New Roman" w:hAnsi="Times New Roman" w:cs="Times New Roman"/>
              <w:noProof/>
              <w:sz w:val="24"/>
              <w:szCs w:val="24"/>
            </w:rPr>
            <w:t>(Cáceres, 2010, pág. 1)</w:t>
          </w:r>
          <w:r>
            <w:rPr>
              <w:rFonts w:ascii="Times New Roman" w:hAnsi="Times New Roman" w:cs="Times New Roman"/>
              <w:sz w:val="24"/>
              <w:szCs w:val="24"/>
            </w:rPr>
            <w:fldChar w:fldCharType="end"/>
          </w:r>
        </w:sdtContent>
      </w:sdt>
      <w:r w:rsidR="002424B3">
        <w:rPr>
          <w:rFonts w:ascii="Times New Roman" w:hAnsi="Times New Roman" w:cs="Times New Roman"/>
          <w:sz w:val="24"/>
          <w:szCs w:val="24"/>
        </w:rPr>
        <w:t xml:space="preserve"> Parafraseando a Jesús Galindo esta  definición nos ofrece una perspectiva en donde todo tipo de conocimiento de las relaciones entre los individuos y los grupos, quieren convivir en un tiempo-espacio. Lo cual provoca que se mejore la sociedad en general y la compañía en particular </w:t>
      </w:r>
      <w:sdt>
        <w:sdtPr>
          <w:rPr>
            <w:rFonts w:ascii="Times New Roman" w:hAnsi="Times New Roman" w:cs="Times New Roman"/>
            <w:sz w:val="24"/>
            <w:szCs w:val="24"/>
          </w:rPr>
          <w:id w:val="-1503350843"/>
          <w:citation/>
        </w:sdtPr>
        <w:sdtContent>
          <w:r w:rsidR="002424B3">
            <w:rPr>
              <w:rFonts w:ascii="Times New Roman" w:hAnsi="Times New Roman" w:cs="Times New Roman"/>
              <w:sz w:val="24"/>
              <w:szCs w:val="24"/>
            </w:rPr>
            <w:fldChar w:fldCharType="begin"/>
          </w:r>
          <w:r w:rsidR="002424B3">
            <w:rPr>
              <w:rFonts w:ascii="Times New Roman" w:hAnsi="Times New Roman" w:cs="Times New Roman"/>
              <w:sz w:val="24"/>
              <w:szCs w:val="24"/>
            </w:rPr>
            <w:instrText xml:space="preserve">CITATION Các10 \p 1-2 \l 3082 </w:instrText>
          </w:r>
          <w:r w:rsidR="002424B3">
            <w:rPr>
              <w:rFonts w:ascii="Times New Roman" w:hAnsi="Times New Roman" w:cs="Times New Roman"/>
              <w:sz w:val="24"/>
              <w:szCs w:val="24"/>
            </w:rPr>
            <w:fldChar w:fldCharType="separate"/>
          </w:r>
          <w:r w:rsidR="002424B3" w:rsidRPr="002424B3">
            <w:rPr>
              <w:rFonts w:ascii="Times New Roman" w:hAnsi="Times New Roman" w:cs="Times New Roman"/>
              <w:noProof/>
              <w:sz w:val="24"/>
              <w:szCs w:val="24"/>
            </w:rPr>
            <w:t>(Cáceres, 2010, págs. 1-2)</w:t>
          </w:r>
          <w:r w:rsidR="002424B3">
            <w:rPr>
              <w:rFonts w:ascii="Times New Roman" w:hAnsi="Times New Roman" w:cs="Times New Roman"/>
              <w:sz w:val="24"/>
              <w:szCs w:val="24"/>
            </w:rPr>
            <w:fldChar w:fldCharType="end"/>
          </w:r>
        </w:sdtContent>
      </w:sdt>
      <w:r w:rsidR="00A10731">
        <w:rPr>
          <w:rFonts w:ascii="Times New Roman" w:hAnsi="Times New Roman" w:cs="Times New Roman"/>
          <w:sz w:val="24"/>
          <w:szCs w:val="24"/>
        </w:rPr>
        <w:t xml:space="preserve"> “</w:t>
      </w:r>
      <w:r w:rsidR="00A10731" w:rsidRPr="00A10731">
        <w:rPr>
          <w:rFonts w:ascii="Times New Roman" w:hAnsi="Times New Roman" w:cs="Times New Roman"/>
          <w:sz w:val="24"/>
          <w:szCs w:val="24"/>
        </w:rPr>
        <w:t>El  énfasis  está  en  la  relación  entre  el  conocimiento  social  y  las  formas  técnicas  de  construcción  de  la</w:t>
      </w:r>
      <w:r w:rsidR="00A10731">
        <w:rPr>
          <w:rFonts w:ascii="Times New Roman" w:hAnsi="Times New Roman" w:cs="Times New Roman"/>
          <w:sz w:val="24"/>
          <w:szCs w:val="24"/>
        </w:rPr>
        <w:t xml:space="preserve"> </w:t>
      </w:r>
      <w:r w:rsidR="00A10731" w:rsidRPr="00A10731">
        <w:rPr>
          <w:rFonts w:ascii="Times New Roman" w:hAnsi="Times New Roman" w:cs="Times New Roman"/>
          <w:sz w:val="24"/>
          <w:szCs w:val="24"/>
        </w:rPr>
        <w:t>convivencia en sociedad</w:t>
      </w:r>
      <w:r w:rsidR="00A10731">
        <w:rPr>
          <w:rFonts w:ascii="Times New Roman" w:hAnsi="Times New Roman" w:cs="Times New Roman"/>
          <w:sz w:val="24"/>
          <w:szCs w:val="24"/>
        </w:rPr>
        <w:t>”</w:t>
      </w:r>
      <w:sdt>
        <w:sdtPr>
          <w:rPr>
            <w:rFonts w:ascii="Times New Roman" w:hAnsi="Times New Roman" w:cs="Times New Roman"/>
            <w:sz w:val="24"/>
            <w:szCs w:val="24"/>
          </w:rPr>
          <w:id w:val="-310407491"/>
          <w:citation/>
        </w:sdtPr>
        <w:sdtContent>
          <w:r w:rsidR="00A10731">
            <w:rPr>
              <w:rFonts w:ascii="Times New Roman" w:hAnsi="Times New Roman" w:cs="Times New Roman"/>
              <w:sz w:val="24"/>
              <w:szCs w:val="24"/>
            </w:rPr>
            <w:fldChar w:fldCharType="begin"/>
          </w:r>
          <w:r w:rsidR="00A10731">
            <w:rPr>
              <w:rFonts w:ascii="Times New Roman" w:hAnsi="Times New Roman" w:cs="Times New Roman"/>
              <w:sz w:val="24"/>
              <w:szCs w:val="24"/>
            </w:rPr>
            <w:instrText xml:space="preserve">CITATION Các10 \p 2 \l 3082 </w:instrText>
          </w:r>
          <w:r w:rsidR="00A10731">
            <w:rPr>
              <w:rFonts w:ascii="Times New Roman" w:hAnsi="Times New Roman" w:cs="Times New Roman"/>
              <w:sz w:val="24"/>
              <w:szCs w:val="24"/>
            </w:rPr>
            <w:fldChar w:fldCharType="separate"/>
          </w:r>
          <w:r w:rsidR="00A10731">
            <w:rPr>
              <w:rFonts w:ascii="Times New Roman" w:hAnsi="Times New Roman" w:cs="Times New Roman"/>
              <w:noProof/>
              <w:sz w:val="24"/>
              <w:szCs w:val="24"/>
            </w:rPr>
            <w:t xml:space="preserve"> </w:t>
          </w:r>
          <w:r w:rsidR="00A10731" w:rsidRPr="00A10731">
            <w:rPr>
              <w:rFonts w:ascii="Times New Roman" w:hAnsi="Times New Roman" w:cs="Times New Roman"/>
              <w:noProof/>
              <w:sz w:val="24"/>
              <w:szCs w:val="24"/>
            </w:rPr>
            <w:t>(Cáceres, 2010, pág. 2)</w:t>
          </w:r>
          <w:r w:rsidR="00A10731">
            <w:rPr>
              <w:rFonts w:ascii="Times New Roman" w:hAnsi="Times New Roman" w:cs="Times New Roman"/>
              <w:sz w:val="24"/>
              <w:szCs w:val="24"/>
            </w:rPr>
            <w:fldChar w:fldCharType="end"/>
          </w:r>
        </w:sdtContent>
      </w:sdt>
    </w:p>
    <w:p w:rsidR="002424B3" w:rsidRPr="00B64E58" w:rsidRDefault="00A10731" w:rsidP="002424B3">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ab/>
        <w:t xml:space="preserve">La segunda definición nos dice: </w:t>
      </w:r>
      <w:r w:rsidR="002424B3">
        <w:rPr>
          <w:rFonts w:ascii="Times New Roman" w:hAnsi="Times New Roman" w:cs="Times New Roman"/>
          <w:sz w:val="24"/>
          <w:szCs w:val="24"/>
        </w:rPr>
        <w:t>“Es la a</w:t>
      </w:r>
      <w:r w:rsidR="002424B3" w:rsidRPr="002424B3">
        <w:rPr>
          <w:rFonts w:ascii="Times New Roman" w:hAnsi="Times New Roman" w:cs="Times New Roman"/>
          <w:sz w:val="24"/>
          <w:szCs w:val="24"/>
        </w:rPr>
        <w:t>plicación  de  principios  científicos  al  diseño  y  construcción  de  formas  de  asociación  y</w:t>
      </w:r>
      <w:r w:rsidR="002424B3">
        <w:rPr>
          <w:rFonts w:ascii="Times New Roman" w:hAnsi="Times New Roman" w:cs="Times New Roman"/>
          <w:sz w:val="24"/>
          <w:szCs w:val="24"/>
        </w:rPr>
        <w:t xml:space="preserve"> </w:t>
      </w:r>
      <w:r w:rsidR="002424B3" w:rsidRPr="002424B3">
        <w:rPr>
          <w:rFonts w:ascii="Times New Roman" w:hAnsi="Times New Roman" w:cs="Times New Roman"/>
          <w:sz w:val="24"/>
          <w:szCs w:val="24"/>
        </w:rPr>
        <w:t>comunidad  en  grupos  organizados.  Lo  cual  implica  la  creación  de  formas  de  asociación,  de  seguimiento,  del  contacto,  la</w:t>
      </w:r>
      <w:r w:rsidR="002424B3">
        <w:rPr>
          <w:rFonts w:ascii="Times New Roman" w:hAnsi="Times New Roman" w:cs="Times New Roman"/>
          <w:sz w:val="24"/>
          <w:szCs w:val="24"/>
        </w:rPr>
        <w:t xml:space="preserve"> </w:t>
      </w:r>
      <w:r w:rsidR="002424B3" w:rsidRPr="002424B3">
        <w:rPr>
          <w:rFonts w:ascii="Times New Roman" w:hAnsi="Times New Roman" w:cs="Times New Roman"/>
          <w:sz w:val="24"/>
          <w:szCs w:val="24"/>
        </w:rPr>
        <w:t xml:space="preserve">interacción,  el  vínculo,  la  </w:t>
      </w:r>
      <w:r w:rsidR="002424B3">
        <w:rPr>
          <w:rFonts w:ascii="Times New Roman" w:hAnsi="Times New Roman" w:cs="Times New Roman"/>
          <w:sz w:val="24"/>
          <w:szCs w:val="24"/>
        </w:rPr>
        <w:t>conexión  y  la  comunicación.”</w:t>
      </w:r>
      <w:sdt>
        <w:sdtPr>
          <w:rPr>
            <w:rFonts w:ascii="Times New Roman" w:hAnsi="Times New Roman" w:cs="Times New Roman"/>
            <w:sz w:val="24"/>
            <w:szCs w:val="24"/>
          </w:rPr>
          <w:id w:val="1246069419"/>
          <w:citation/>
        </w:sdtPr>
        <w:sdtContent>
          <w:r w:rsidR="002424B3">
            <w:rPr>
              <w:rFonts w:ascii="Times New Roman" w:hAnsi="Times New Roman" w:cs="Times New Roman"/>
              <w:sz w:val="24"/>
              <w:szCs w:val="24"/>
            </w:rPr>
            <w:fldChar w:fldCharType="begin"/>
          </w:r>
          <w:r w:rsidR="002424B3">
            <w:rPr>
              <w:rFonts w:ascii="Times New Roman" w:hAnsi="Times New Roman" w:cs="Times New Roman"/>
              <w:sz w:val="24"/>
              <w:szCs w:val="24"/>
            </w:rPr>
            <w:instrText xml:space="preserve">CITATION Các10 \p 2 \l 3082 </w:instrText>
          </w:r>
          <w:r w:rsidR="002424B3">
            <w:rPr>
              <w:rFonts w:ascii="Times New Roman" w:hAnsi="Times New Roman" w:cs="Times New Roman"/>
              <w:sz w:val="24"/>
              <w:szCs w:val="24"/>
            </w:rPr>
            <w:fldChar w:fldCharType="separate"/>
          </w:r>
          <w:r w:rsidR="002424B3">
            <w:rPr>
              <w:rFonts w:ascii="Times New Roman" w:hAnsi="Times New Roman" w:cs="Times New Roman"/>
              <w:noProof/>
              <w:sz w:val="24"/>
              <w:szCs w:val="24"/>
            </w:rPr>
            <w:t xml:space="preserve"> </w:t>
          </w:r>
          <w:r w:rsidR="002424B3" w:rsidRPr="002424B3">
            <w:rPr>
              <w:rFonts w:ascii="Times New Roman" w:hAnsi="Times New Roman" w:cs="Times New Roman"/>
              <w:noProof/>
              <w:sz w:val="24"/>
              <w:szCs w:val="24"/>
            </w:rPr>
            <w:t>(Cáceres, 2010, pág. 2)</w:t>
          </w:r>
          <w:r w:rsidR="002424B3">
            <w:rPr>
              <w:rFonts w:ascii="Times New Roman" w:hAnsi="Times New Roman" w:cs="Times New Roman"/>
              <w:sz w:val="24"/>
              <w:szCs w:val="24"/>
            </w:rPr>
            <w:fldChar w:fldCharType="end"/>
          </w:r>
        </w:sdtContent>
      </w:sdt>
      <w:r>
        <w:rPr>
          <w:rFonts w:ascii="Times New Roman" w:hAnsi="Times New Roman" w:cs="Times New Roman"/>
          <w:sz w:val="24"/>
          <w:szCs w:val="24"/>
        </w:rPr>
        <w:t xml:space="preserve"> Según Jesús Galindo esta definición lo que prima es la creatividad y las diferente tipos de configuraciones. Es así que creo la </w:t>
      </w:r>
      <w:proofErr w:type="spellStart"/>
      <w:r>
        <w:rPr>
          <w:rFonts w:ascii="Times New Roman" w:hAnsi="Times New Roman" w:cs="Times New Roman"/>
          <w:sz w:val="24"/>
          <w:szCs w:val="24"/>
        </w:rPr>
        <w:t>Sociocibernética</w:t>
      </w:r>
      <w:proofErr w:type="spellEnd"/>
      <w:r>
        <w:rPr>
          <w:rFonts w:ascii="Times New Roman" w:hAnsi="Times New Roman" w:cs="Times New Roman"/>
          <w:sz w:val="24"/>
          <w:szCs w:val="24"/>
        </w:rPr>
        <w:t xml:space="preserve">, con un marco conceptual con perspectiva constructivista y cibernética de segundo orden. </w:t>
      </w:r>
      <w:sdt>
        <w:sdtPr>
          <w:rPr>
            <w:rFonts w:ascii="Times New Roman" w:hAnsi="Times New Roman" w:cs="Times New Roman"/>
            <w:sz w:val="24"/>
            <w:szCs w:val="24"/>
          </w:rPr>
          <w:id w:val="-1904673671"/>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Các10 \l 3082 </w:instrText>
          </w:r>
          <w:r>
            <w:rPr>
              <w:rFonts w:ascii="Times New Roman" w:hAnsi="Times New Roman" w:cs="Times New Roman"/>
              <w:sz w:val="24"/>
              <w:szCs w:val="24"/>
            </w:rPr>
            <w:fldChar w:fldCharType="separate"/>
          </w:r>
          <w:r w:rsidRPr="00A10731">
            <w:rPr>
              <w:rFonts w:ascii="Times New Roman" w:hAnsi="Times New Roman" w:cs="Times New Roman"/>
              <w:noProof/>
              <w:sz w:val="24"/>
              <w:szCs w:val="24"/>
            </w:rPr>
            <w:t>(Cáceres, 2010)</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r w:rsidR="005630FC">
        <w:rPr>
          <w:rFonts w:ascii="Times New Roman" w:hAnsi="Times New Roman" w:cs="Times New Roman"/>
          <w:sz w:val="24"/>
          <w:szCs w:val="24"/>
        </w:rPr>
        <w:t>“</w:t>
      </w:r>
      <w:r w:rsidR="005630FC" w:rsidRPr="005630FC">
        <w:rPr>
          <w:rFonts w:ascii="Times New Roman" w:hAnsi="Times New Roman" w:cs="Times New Roman"/>
          <w:sz w:val="24"/>
          <w:szCs w:val="24"/>
        </w:rPr>
        <w:t xml:space="preserve">El énfasis está en el aprovechamiento del </w:t>
      </w:r>
      <w:r w:rsidR="005630FC" w:rsidRPr="005630FC">
        <w:rPr>
          <w:rFonts w:ascii="Times New Roman" w:hAnsi="Times New Roman" w:cs="Times New Roman"/>
          <w:sz w:val="24"/>
          <w:szCs w:val="24"/>
        </w:rPr>
        <w:lastRenderedPageBreak/>
        <w:t>conocimiento de lo social, en</w:t>
      </w:r>
      <w:r w:rsidR="005630FC">
        <w:rPr>
          <w:rFonts w:ascii="Times New Roman" w:hAnsi="Times New Roman" w:cs="Times New Roman"/>
          <w:sz w:val="24"/>
          <w:szCs w:val="24"/>
        </w:rPr>
        <w:t xml:space="preserve"> </w:t>
      </w:r>
      <w:r w:rsidR="005630FC" w:rsidRPr="005630FC">
        <w:rPr>
          <w:rFonts w:ascii="Times New Roman" w:hAnsi="Times New Roman" w:cs="Times New Roman"/>
          <w:sz w:val="24"/>
          <w:szCs w:val="24"/>
        </w:rPr>
        <w:t>este  caso  sociocibernético,  para  la  construcción  de  vida  social  en  dos  sentidos  elementales,  la  asociación,  sin  afectividad,  como</w:t>
      </w:r>
      <w:r w:rsidR="005630FC">
        <w:rPr>
          <w:rFonts w:ascii="Times New Roman" w:hAnsi="Times New Roman" w:cs="Times New Roman"/>
          <w:sz w:val="24"/>
          <w:szCs w:val="24"/>
        </w:rPr>
        <w:t xml:space="preserve"> </w:t>
      </w:r>
      <w:r w:rsidR="005630FC" w:rsidRPr="005630FC">
        <w:rPr>
          <w:rFonts w:ascii="Times New Roman" w:hAnsi="Times New Roman" w:cs="Times New Roman"/>
          <w:sz w:val="24"/>
          <w:szCs w:val="24"/>
        </w:rPr>
        <w:t>centro  del  proceso  de  vinculación,  y  la  comunidad,  donde  el  afecto  es  el  eje  constructivo  de  la  sociabilidad.</w:t>
      </w:r>
      <w:r w:rsidR="005630FC">
        <w:rPr>
          <w:rFonts w:ascii="Times New Roman" w:hAnsi="Times New Roman" w:cs="Times New Roman"/>
          <w:sz w:val="24"/>
          <w:szCs w:val="24"/>
        </w:rPr>
        <w:t>”</w:t>
      </w:r>
      <w:sdt>
        <w:sdtPr>
          <w:rPr>
            <w:rFonts w:ascii="Times New Roman" w:hAnsi="Times New Roman" w:cs="Times New Roman"/>
            <w:sz w:val="24"/>
            <w:szCs w:val="24"/>
          </w:rPr>
          <w:id w:val="-1138110066"/>
          <w:citation/>
        </w:sdtPr>
        <w:sdtContent>
          <w:r w:rsidR="005630FC">
            <w:rPr>
              <w:rFonts w:ascii="Times New Roman" w:hAnsi="Times New Roman" w:cs="Times New Roman"/>
              <w:sz w:val="24"/>
              <w:szCs w:val="24"/>
            </w:rPr>
            <w:fldChar w:fldCharType="begin"/>
          </w:r>
          <w:r w:rsidR="005630FC">
            <w:rPr>
              <w:rFonts w:ascii="Times New Roman" w:hAnsi="Times New Roman" w:cs="Times New Roman"/>
              <w:sz w:val="24"/>
              <w:szCs w:val="24"/>
            </w:rPr>
            <w:instrText xml:space="preserve">CITATION Các10 \p 2 \l 3082 </w:instrText>
          </w:r>
          <w:r w:rsidR="005630FC">
            <w:rPr>
              <w:rFonts w:ascii="Times New Roman" w:hAnsi="Times New Roman" w:cs="Times New Roman"/>
              <w:sz w:val="24"/>
              <w:szCs w:val="24"/>
            </w:rPr>
            <w:fldChar w:fldCharType="separate"/>
          </w:r>
          <w:r w:rsidR="005630FC">
            <w:rPr>
              <w:rFonts w:ascii="Times New Roman" w:hAnsi="Times New Roman" w:cs="Times New Roman"/>
              <w:noProof/>
              <w:sz w:val="24"/>
              <w:szCs w:val="24"/>
            </w:rPr>
            <w:t xml:space="preserve"> </w:t>
          </w:r>
          <w:r w:rsidR="005630FC" w:rsidRPr="005630FC">
            <w:rPr>
              <w:rFonts w:ascii="Times New Roman" w:hAnsi="Times New Roman" w:cs="Times New Roman"/>
              <w:noProof/>
              <w:sz w:val="24"/>
              <w:szCs w:val="24"/>
            </w:rPr>
            <w:t>(Cáceres, 2010, pág. 2)</w:t>
          </w:r>
          <w:r w:rsidR="005630FC">
            <w:rPr>
              <w:rFonts w:ascii="Times New Roman" w:hAnsi="Times New Roman" w:cs="Times New Roman"/>
              <w:sz w:val="24"/>
              <w:szCs w:val="24"/>
            </w:rPr>
            <w:fldChar w:fldCharType="end"/>
          </w:r>
        </w:sdtContent>
      </w:sdt>
    </w:p>
    <w:p w:rsidR="005630FC" w:rsidRDefault="005630FC" w:rsidP="005630FC">
      <w:pPr>
        <w:spacing w:line="360" w:lineRule="auto"/>
        <w:ind w:left="708" w:firstLine="709"/>
        <w:jc w:val="both"/>
        <w:rPr>
          <w:rFonts w:ascii="Times New Roman" w:hAnsi="Times New Roman" w:cs="Times New Roman"/>
          <w:sz w:val="24"/>
          <w:szCs w:val="24"/>
        </w:rPr>
      </w:pPr>
      <w:r w:rsidRPr="005630FC">
        <w:rPr>
          <w:rFonts w:ascii="Times New Roman" w:hAnsi="Times New Roman" w:cs="Times New Roman"/>
          <w:sz w:val="24"/>
          <w:szCs w:val="24"/>
        </w:rPr>
        <w:t>La Ingeniería Social es el acto de manipular a una persona a través de técnicas psicológicas y habilidades sociales para cumplir metas específicas. Éstas contemplan entre otras cosas: la obtención de información, el acceso a un sistema o la ejecución de una actividad más elaborada (como el robo de un activo), pudiendo ser o no del interés de la persona objetivo.</w:t>
      </w:r>
      <w:sdt>
        <w:sdtPr>
          <w:rPr>
            <w:rFonts w:ascii="Times New Roman" w:hAnsi="Times New Roman" w:cs="Times New Roman"/>
            <w:sz w:val="24"/>
            <w:szCs w:val="24"/>
          </w:rPr>
          <w:id w:val="1123654638"/>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Edg11 \l 3082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5630FC">
            <w:rPr>
              <w:rFonts w:ascii="Times New Roman" w:hAnsi="Times New Roman" w:cs="Times New Roman"/>
              <w:noProof/>
              <w:sz w:val="24"/>
              <w:szCs w:val="24"/>
            </w:rPr>
            <w:t>(Castellanos, 2011)</w:t>
          </w:r>
          <w:r>
            <w:rPr>
              <w:rFonts w:ascii="Times New Roman" w:hAnsi="Times New Roman" w:cs="Times New Roman"/>
              <w:sz w:val="24"/>
              <w:szCs w:val="24"/>
            </w:rPr>
            <w:fldChar w:fldCharType="end"/>
          </w:r>
        </w:sdtContent>
      </w:sdt>
    </w:p>
    <w:p w:rsidR="00EB62CD" w:rsidRDefault="00794278" w:rsidP="00A10731">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Parafraseando a </w:t>
      </w:r>
      <w:r w:rsidR="005630FC">
        <w:rPr>
          <w:rFonts w:ascii="Times New Roman" w:hAnsi="Times New Roman" w:cs="Times New Roman"/>
          <w:sz w:val="24"/>
          <w:szCs w:val="24"/>
        </w:rPr>
        <w:t xml:space="preserve">Edgar  Castellanos de la Universidad Nacional  Autónoma de México </w:t>
      </w:r>
      <w:r>
        <w:rPr>
          <w:rFonts w:ascii="Times New Roman" w:hAnsi="Times New Roman" w:cs="Times New Roman"/>
          <w:sz w:val="24"/>
          <w:szCs w:val="24"/>
        </w:rPr>
        <w:t xml:space="preserve">nos dice que la Ingeniería  Social se podría considerar como arte que pocos pueden desarrollar ya que necesitan habilidades sociales, que algunos  pueden mostrar desde pequeños. En seguridad es clave ya que se considera al usuario como el eslabón más débil y es una oportunidad para conseguir información que se necesita </w:t>
      </w:r>
      <w:sdt>
        <w:sdtPr>
          <w:rPr>
            <w:rFonts w:ascii="Times New Roman" w:hAnsi="Times New Roman" w:cs="Times New Roman"/>
            <w:sz w:val="24"/>
            <w:szCs w:val="24"/>
          </w:rPr>
          <w:id w:val="-1998338952"/>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Edg11 \l 3082 </w:instrText>
          </w:r>
          <w:r>
            <w:rPr>
              <w:rFonts w:ascii="Times New Roman" w:hAnsi="Times New Roman" w:cs="Times New Roman"/>
              <w:sz w:val="24"/>
              <w:szCs w:val="24"/>
            </w:rPr>
            <w:fldChar w:fldCharType="separate"/>
          </w:r>
          <w:r w:rsidRPr="00794278">
            <w:rPr>
              <w:rFonts w:ascii="Times New Roman" w:hAnsi="Times New Roman" w:cs="Times New Roman"/>
              <w:noProof/>
              <w:sz w:val="24"/>
              <w:szCs w:val="24"/>
            </w:rPr>
            <w:t>(Castellanos, 2011)</w:t>
          </w:r>
          <w:r>
            <w:rPr>
              <w:rFonts w:ascii="Times New Roman" w:hAnsi="Times New Roman" w:cs="Times New Roman"/>
              <w:sz w:val="24"/>
              <w:szCs w:val="24"/>
            </w:rPr>
            <w:fldChar w:fldCharType="end"/>
          </w:r>
        </w:sdtContent>
      </w:sdt>
    </w:p>
    <w:p w:rsidR="005630FC" w:rsidRPr="00397C5E" w:rsidRDefault="00B64E58" w:rsidP="00A10731">
      <w:pPr>
        <w:spacing w:line="360" w:lineRule="auto"/>
        <w:ind w:firstLine="709"/>
        <w:jc w:val="both"/>
        <w:rPr>
          <w:rFonts w:ascii="Times New Roman" w:hAnsi="Times New Roman" w:cs="Times New Roman"/>
          <w:b/>
          <w:sz w:val="24"/>
          <w:szCs w:val="24"/>
        </w:rPr>
      </w:pPr>
      <w:r w:rsidRPr="00B64E58">
        <w:rPr>
          <w:rFonts w:ascii="Times New Roman" w:hAnsi="Times New Roman" w:cs="Times New Roman"/>
          <w:sz w:val="24"/>
          <w:szCs w:val="24"/>
        </w:rPr>
        <w:br/>
      </w:r>
      <w:r w:rsidRPr="00397C5E">
        <w:rPr>
          <w:rFonts w:ascii="Times New Roman" w:hAnsi="Times New Roman" w:cs="Times New Roman"/>
          <w:b/>
          <w:sz w:val="24"/>
          <w:szCs w:val="24"/>
          <w:shd w:val="clear" w:color="auto" w:fill="FFFFFF"/>
        </w:rPr>
        <w:t>¿Quién es Jesús Galindo Cáceres?</w:t>
      </w:r>
    </w:p>
    <w:p w:rsidR="00EB62CD" w:rsidRPr="00EB62CD" w:rsidRDefault="00EB62CD" w:rsidP="00EB62CD">
      <w:pPr>
        <w:spacing w:line="360" w:lineRule="auto"/>
        <w:ind w:left="708" w:firstLine="709"/>
        <w:jc w:val="both"/>
        <w:rPr>
          <w:rFonts w:ascii="Times New Roman" w:hAnsi="Times New Roman" w:cs="Times New Roman"/>
          <w:sz w:val="24"/>
          <w:szCs w:val="24"/>
        </w:rPr>
      </w:pPr>
      <w:r w:rsidRPr="00EB62CD">
        <w:rPr>
          <w:rFonts w:ascii="Times New Roman" w:hAnsi="Times New Roman" w:cs="Times New Roman"/>
          <w:sz w:val="24"/>
          <w:szCs w:val="24"/>
        </w:rPr>
        <w:t>Mexicano. Doctor en Ciencias Sociales (1985), maestro en Lingüística (1983) y licenciado en comunicación (1978). Autor de 35 libros y más de trescientos cincuenta artículos publicados en catorce países de América y Europa. Promotor cultural en diversos proyectos desde 1972. Profesor universitario en Argentina, Brasil, Colombia, Perú, Ecuado</w:t>
      </w:r>
      <w:r w:rsidRPr="00EB62CD">
        <w:rPr>
          <w:rFonts w:ascii="Times New Roman" w:hAnsi="Times New Roman" w:cs="Times New Roman"/>
          <w:sz w:val="24"/>
          <w:szCs w:val="24"/>
        </w:rPr>
        <w:t xml:space="preserve">r, España y México desde 1975. </w:t>
      </w:r>
    </w:p>
    <w:p w:rsidR="00EB62CD" w:rsidRPr="00EB62CD" w:rsidRDefault="00EB62CD" w:rsidP="00EB62CD">
      <w:pPr>
        <w:spacing w:line="360" w:lineRule="auto"/>
        <w:ind w:left="708" w:firstLine="709"/>
        <w:jc w:val="both"/>
        <w:rPr>
          <w:rFonts w:ascii="Times New Roman" w:hAnsi="Times New Roman" w:cs="Times New Roman"/>
          <w:sz w:val="24"/>
          <w:szCs w:val="24"/>
        </w:rPr>
      </w:pPr>
      <w:r w:rsidRPr="00EB62CD">
        <w:rPr>
          <w:rFonts w:ascii="Times New Roman" w:hAnsi="Times New Roman" w:cs="Times New Roman"/>
          <w:sz w:val="24"/>
          <w:szCs w:val="24"/>
        </w:rPr>
        <w:t xml:space="preserve">Fundador del doctorado en Análisis del Discurso y Semiótica de la Cultura, Escuela Nacional de Antropología e Historia (1996). Fundador del doctorado en Ciencias Sociales, Universidad de Colima (1997). Fundador del doctorado en Comunicación, Universidad Veracruzana (2001). Fundador del doctorado en Ciencias y Humanidades para el desarrollo Interdisciplinario,  Universidad Autónoma de Coahuila y Universidad Nacional Autónoma de México (2010). </w:t>
      </w:r>
    </w:p>
    <w:p w:rsidR="00EB62CD" w:rsidRPr="00EB62CD" w:rsidRDefault="00EB62CD" w:rsidP="00EB62CD">
      <w:pPr>
        <w:spacing w:line="360" w:lineRule="auto"/>
        <w:ind w:left="708" w:firstLine="709"/>
        <w:jc w:val="both"/>
        <w:rPr>
          <w:rFonts w:ascii="Times New Roman" w:hAnsi="Times New Roman" w:cs="Times New Roman"/>
          <w:sz w:val="24"/>
          <w:szCs w:val="24"/>
        </w:rPr>
      </w:pPr>
      <w:r w:rsidRPr="00EB62CD">
        <w:rPr>
          <w:rFonts w:ascii="Times New Roman" w:hAnsi="Times New Roman" w:cs="Times New Roman"/>
          <w:sz w:val="24"/>
          <w:szCs w:val="24"/>
        </w:rPr>
        <w:lastRenderedPageBreak/>
        <w:t>Ha desarrollado varios programas de investigación.- Planeación y Organización  Universitarias (1975-1981), Antropología Urbana de los movimientos sociales urbanos en México (1980-1992), Sociología de la cultura contemporánea en México (1985-1993), Cultura de Investigación en las Ciencias Sociales (1985-2001), Cibercultura en México y América Latina (1993-2003), Hacia una Comunicología Posible (2001-2009). Ingeniería Social e Ingeniería en Comunicación Social (2001-vigente).</w:t>
      </w:r>
    </w:p>
    <w:p w:rsidR="005630FC" w:rsidRPr="00EB62CD" w:rsidRDefault="00EB62CD" w:rsidP="00EB62CD">
      <w:pPr>
        <w:spacing w:line="360" w:lineRule="auto"/>
        <w:ind w:left="708" w:firstLine="709"/>
        <w:jc w:val="both"/>
        <w:rPr>
          <w:rFonts w:ascii="Times New Roman" w:hAnsi="Times New Roman" w:cs="Times New Roman"/>
          <w:sz w:val="24"/>
          <w:szCs w:val="24"/>
          <w:shd w:val="clear" w:color="auto" w:fill="FFFFFF"/>
        </w:rPr>
      </w:pPr>
      <w:r w:rsidRPr="00EB62CD">
        <w:rPr>
          <w:rFonts w:ascii="Times New Roman" w:hAnsi="Times New Roman" w:cs="Times New Roman"/>
          <w:sz w:val="24"/>
          <w:szCs w:val="24"/>
        </w:rPr>
        <w:t>Miembro de la Asociación Mexicana de Investigadores de la Comunicación (AMIC) desde 1982. Miembro del Programa de Estudios sobre las Culturas Contemporáneas (Programa Cultura) desde 1985. Miembro del Sistema Nacional de Investigadores del Consejo Nacional de Ciencia y Tecnología (SNI-CONACYT) desde 1987. Promotor del Grupo de Acción en Cultura de Investigación (GACI) desde 1994. Promotor de la Red de estudios en teoría de la comunicación (REDECOM) y del Grupo hacia una Comunicología posible (GUCOM) desde 2003. Miembro de la Red Deporte, Cultura física, ocio y recreación desde 2006. Promotor del Grupo hacia una Ingeniería en Comunicación Social (GICOM) desde 2009. Miembro de la Red Iberoamericana de Gestores Culturales desde 2009. Miembro de Instituto de Altos Estudios en Deporte, Cultura y Sociedad (INDECUS) desde 2010.</w:t>
      </w:r>
      <w:r w:rsidR="00B64E58" w:rsidRPr="00EB62CD">
        <w:rPr>
          <w:rFonts w:ascii="Times New Roman" w:hAnsi="Times New Roman" w:cs="Times New Roman"/>
          <w:sz w:val="24"/>
          <w:szCs w:val="24"/>
        </w:rPr>
        <w:br/>
      </w:r>
      <w:r w:rsidR="00B64E58" w:rsidRPr="00EB62CD">
        <w:rPr>
          <w:rFonts w:ascii="Times New Roman" w:hAnsi="Times New Roman" w:cs="Times New Roman"/>
          <w:sz w:val="24"/>
          <w:szCs w:val="24"/>
          <w:shd w:val="clear" w:color="auto" w:fill="FFFFFF"/>
        </w:rPr>
        <w:t>Descargar un libro de GICOM.</w:t>
      </w:r>
      <w:r>
        <w:rPr>
          <w:rFonts w:ascii="Times New Roman" w:hAnsi="Times New Roman" w:cs="Times New Roman"/>
          <w:sz w:val="24"/>
          <w:szCs w:val="24"/>
          <w:shd w:val="clear" w:color="auto" w:fill="FFFFFF"/>
        </w:rPr>
        <w:t xml:space="preserve"> </w:t>
      </w:r>
      <w:sdt>
        <w:sdtPr>
          <w:rPr>
            <w:rFonts w:ascii="Times New Roman" w:hAnsi="Times New Roman" w:cs="Times New Roman"/>
            <w:sz w:val="24"/>
            <w:szCs w:val="24"/>
            <w:shd w:val="clear" w:color="auto" w:fill="FFFFFF"/>
          </w:rPr>
          <w:id w:val="-1622297785"/>
          <w:citation/>
        </w:sdtPr>
        <w:sdtContent>
          <w:r>
            <w:rPr>
              <w:rFonts w:ascii="Times New Roman" w:hAnsi="Times New Roman" w:cs="Times New Roman"/>
              <w:sz w:val="24"/>
              <w:szCs w:val="24"/>
              <w:shd w:val="clear" w:color="auto" w:fill="FFFFFF"/>
            </w:rPr>
            <w:fldChar w:fldCharType="begin"/>
          </w:r>
          <w:r>
            <w:rPr>
              <w:rFonts w:ascii="Times New Roman" w:hAnsi="Times New Roman" w:cs="Times New Roman"/>
              <w:sz w:val="24"/>
              <w:szCs w:val="24"/>
              <w:shd w:val="clear" w:color="auto" w:fill="FFFFFF"/>
            </w:rPr>
            <w:instrText xml:space="preserve"> CITATION Eul16 \l 3082 </w:instrText>
          </w:r>
          <w:r>
            <w:rPr>
              <w:rFonts w:ascii="Times New Roman" w:hAnsi="Times New Roman" w:cs="Times New Roman"/>
              <w:sz w:val="24"/>
              <w:szCs w:val="24"/>
              <w:shd w:val="clear" w:color="auto" w:fill="FFFFFF"/>
            </w:rPr>
            <w:fldChar w:fldCharType="separate"/>
          </w:r>
          <w:r w:rsidRPr="00EB62CD">
            <w:rPr>
              <w:rFonts w:ascii="Times New Roman" w:hAnsi="Times New Roman" w:cs="Times New Roman"/>
              <w:noProof/>
              <w:sz w:val="24"/>
              <w:szCs w:val="24"/>
              <w:shd w:val="clear" w:color="auto" w:fill="FFFFFF"/>
            </w:rPr>
            <w:t>(Eulalio Ferrer Centro Avanzada de Comunicación, 2016)</w:t>
          </w:r>
          <w:r>
            <w:rPr>
              <w:rFonts w:ascii="Times New Roman" w:hAnsi="Times New Roman" w:cs="Times New Roman"/>
              <w:sz w:val="24"/>
              <w:szCs w:val="24"/>
              <w:shd w:val="clear" w:color="auto" w:fill="FFFFFF"/>
            </w:rPr>
            <w:fldChar w:fldCharType="end"/>
          </w:r>
        </w:sdtContent>
      </w:sdt>
    </w:p>
    <w:p w:rsidR="00B64E58" w:rsidRPr="00397C5E" w:rsidRDefault="00B64E58" w:rsidP="00A10731">
      <w:pPr>
        <w:spacing w:line="360" w:lineRule="auto"/>
        <w:ind w:firstLine="709"/>
        <w:jc w:val="both"/>
        <w:rPr>
          <w:rFonts w:ascii="Times New Roman" w:hAnsi="Times New Roman" w:cs="Times New Roman"/>
          <w:b/>
          <w:sz w:val="24"/>
          <w:szCs w:val="24"/>
          <w:shd w:val="clear" w:color="auto" w:fill="FFFFFF"/>
        </w:rPr>
      </w:pPr>
      <w:r w:rsidRPr="00397C5E">
        <w:rPr>
          <w:rFonts w:ascii="Times New Roman" w:hAnsi="Times New Roman" w:cs="Times New Roman"/>
          <w:b/>
          <w:sz w:val="24"/>
          <w:szCs w:val="24"/>
        </w:rPr>
        <w:br/>
      </w:r>
      <w:r w:rsidRPr="00397C5E">
        <w:rPr>
          <w:rFonts w:ascii="Times New Roman" w:hAnsi="Times New Roman" w:cs="Times New Roman"/>
          <w:b/>
          <w:sz w:val="24"/>
          <w:szCs w:val="24"/>
          <w:shd w:val="clear" w:color="auto" w:fill="FFFFFF"/>
        </w:rPr>
        <w:t xml:space="preserve">Informarse más acerca del Principio de Incertidumbre de </w:t>
      </w:r>
      <w:proofErr w:type="spellStart"/>
      <w:r w:rsidRPr="00397C5E">
        <w:rPr>
          <w:rFonts w:ascii="Times New Roman" w:hAnsi="Times New Roman" w:cs="Times New Roman"/>
          <w:b/>
          <w:sz w:val="24"/>
          <w:szCs w:val="24"/>
          <w:shd w:val="clear" w:color="auto" w:fill="FFFFFF"/>
        </w:rPr>
        <w:t>Heinserberg</w:t>
      </w:r>
      <w:proofErr w:type="spellEnd"/>
    </w:p>
    <w:p w:rsidR="004E26D4" w:rsidRPr="004E26D4" w:rsidRDefault="004E26D4" w:rsidP="00397C5E">
      <w:pPr>
        <w:spacing w:line="360" w:lineRule="auto"/>
        <w:ind w:left="708" w:firstLine="709"/>
        <w:jc w:val="both"/>
        <w:rPr>
          <w:rFonts w:ascii="Times New Roman" w:hAnsi="Times New Roman" w:cs="Times New Roman"/>
          <w:sz w:val="24"/>
          <w:szCs w:val="24"/>
          <w:shd w:val="clear" w:color="auto" w:fill="FFFFFF"/>
        </w:rPr>
      </w:pPr>
      <w:r w:rsidRPr="004E26D4">
        <w:rPr>
          <w:rFonts w:ascii="Times New Roman" w:hAnsi="Times New Roman" w:cs="Times New Roman"/>
          <w:sz w:val="24"/>
          <w:szCs w:val="24"/>
          <w:shd w:val="clear" w:color="auto" w:fill="FFFFFF"/>
        </w:rPr>
        <w:t>“Principio</w:t>
      </w:r>
      <w:r w:rsidRPr="004E26D4">
        <w:rPr>
          <w:rFonts w:ascii="Times New Roman" w:hAnsi="Times New Roman" w:cs="Times New Roman"/>
          <w:sz w:val="24"/>
          <w:szCs w:val="24"/>
          <w:shd w:val="clear" w:color="auto" w:fill="FFFFFF"/>
        </w:rPr>
        <w:t xml:space="preserve"> supone que no podemos conocer con exactitud todos los datos en lo que respecta al comportamiento de las partículas, ya que el conocimiento preciso de un aspecto supone provocar que no podamos conocer con el mismo nivel de precisión el otro</w:t>
      </w:r>
      <w:r w:rsidRPr="004E26D4">
        <w:rPr>
          <w:rFonts w:ascii="Times New Roman" w:hAnsi="Times New Roman" w:cs="Times New Roman"/>
          <w:sz w:val="24"/>
          <w:szCs w:val="24"/>
          <w:shd w:val="clear" w:color="auto" w:fill="FFFFFF"/>
        </w:rPr>
        <w:t>”</w:t>
      </w:r>
      <w:r w:rsidRPr="004E26D4">
        <w:rPr>
          <w:rFonts w:ascii="Times New Roman" w:hAnsi="Times New Roman" w:cs="Times New Roman"/>
          <w:sz w:val="24"/>
          <w:szCs w:val="24"/>
          <w:shd w:val="clear" w:color="auto" w:fill="FFFFFF"/>
        </w:rPr>
        <w:t>.</w:t>
      </w:r>
      <w:sdt>
        <w:sdtPr>
          <w:rPr>
            <w:rFonts w:ascii="Times New Roman" w:hAnsi="Times New Roman" w:cs="Times New Roman"/>
            <w:sz w:val="24"/>
            <w:szCs w:val="24"/>
            <w:shd w:val="clear" w:color="auto" w:fill="FFFFFF"/>
          </w:rPr>
          <w:id w:val="147718676"/>
          <w:citation/>
        </w:sdtPr>
        <w:sdtContent>
          <w:r w:rsidRPr="004E26D4">
            <w:rPr>
              <w:rFonts w:ascii="Times New Roman" w:hAnsi="Times New Roman" w:cs="Times New Roman"/>
              <w:sz w:val="24"/>
              <w:szCs w:val="24"/>
              <w:shd w:val="clear" w:color="auto" w:fill="FFFFFF"/>
            </w:rPr>
            <w:fldChar w:fldCharType="begin"/>
          </w:r>
          <w:r w:rsidRPr="004E26D4">
            <w:rPr>
              <w:rFonts w:ascii="Times New Roman" w:hAnsi="Times New Roman" w:cs="Times New Roman"/>
              <w:sz w:val="24"/>
              <w:szCs w:val="24"/>
              <w:shd w:val="clear" w:color="auto" w:fill="FFFFFF"/>
            </w:rPr>
            <w:instrText xml:space="preserve"> CITATION Osc19 \l 3082 </w:instrText>
          </w:r>
          <w:r w:rsidRPr="004E26D4">
            <w:rPr>
              <w:rFonts w:ascii="Times New Roman" w:hAnsi="Times New Roman" w:cs="Times New Roman"/>
              <w:sz w:val="24"/>
              <w:szCs w:val="24"/>
              <w:shd w:val="clear" w:color="auto" w:fill="FFFFFF"/>
            </w:rPr>
            <w:fldChar w:fldCharType="separate"/>
          </w:r>
          <w:r w:rsidRPr="004E26D4">
            <w:rPr>
              <w:rFonts w:ascii="Times New Roman" w:hAnsi="Times New Roman" w:cs="Times New Roman"/>
              <w:noProof/>
              <w:sz w:val="24"/>
              <w:szCs w:val="24"/>
              <w:shd w:val="clear" w:color="auto" w:fill="FFFFFF"/>
            </w:rPr>
            <w:t xml:space="preserve"> (Mimenza)</w:t>
          </w:r>
          <w:r w:rsidRPr="004E26D4">
            <w:rPr>
              <w:rFonts w:ascii="Times New Roman" w:hAnsi="Times New Roman" w:cs="Times New Roman"/>
              <w:sz w:val="24"/>
              <w:szCs w:val="24"/>
              <w:shd w:val="clear" w:color="auto" w:fill="FFFFFF"/>
            </w:rPr>
            <w:fldChar w:fldCharType="end"/>
          </w:r>
        </w:sdtContent>
      </w:sdt>
    </w:p>
    <w:p w:rsidR="004E26D4" w:rsidRDefault="004E26D4" w:rsidP="00397C5E">
      <w:pPr>
        <w:spacing w:line="360" w:lineRule="auto"/>
        <w:ind w:left="708" w:firstLine="709"/>
        <w:jc w:val="both"/>
        <w:rPr>
          <w:rFonts w:ascii="Times New Roman" w:hAnsi="Times New Roman" w:cs="Times New Roman"/>
          <w:sz w:val="24"/>
          <w:szCs w:val="24"/>
        </w:rPr>
      </w:pPr>
      <w:r>
        <w:rPr>
          <w:rFonts w:ascii="Times New Roman" w:hAnsi="Times New Roman" w:cs="Times New Roman"/>
          <w:sz w:val="24"/>
          <w:szCs w:val="24"/>
        </w:rPr>
        <w:t>“S</w:t>
      </w:r>
      <w:r w:rsidRPr="004E26D4">
        <w:rPr>
          <w:rFonts w:ascii="Times New Roman" w:hAnsi="Times New Roman" w:cs="Times New Roman"/>
          <w:sz w:val="24"/>
          <w:szCs w:val="24"/>
        </w:rPr>
        <w:t xml:space="preserve">egún esta teoría, es imposible medir simultáneamente, y con una precisión absoluta, el valor de la posición y la cantidad de movimiento de una partícula determinada. La incertidumbre derivada de esta apreciación no </w:t>
      </w:r>
      <w:r w:rsidRPr="004E26D4">
        <w:rPr>
          <w:rFonts w:ascii="Times New Roman" w:hAnsi="Times New Roman" w:cs="Times New Roman"/>
          <w:sz w:val="24"/>
          <w:szCs w:val="24"/>
        </w:rPr>
        <w:lastRenderedPageBreak/>
        <w:t xml:space="preserve">corresponde al instrumento de medida, sino al propio hecho de </w:t>
      </w:r>
      <w:r>
        <w:rPr>
          <w:rFonts w:ascii="Times New Roman" w:hAnsi="Times New Roman" w:cs="Times New Roman"/>
          <w:sz w:val="24"/>
          <w:szCs w:val="24"/>
        </w:rPr>
        <w:t xml:space="preserve">pretender tomar dichas medidas. </w:t>
      </w:r>
      <w:r w:rsidRPr="004E26D4">
        <w:rPr>
          <w:rFonts w:ascii="Times New Roman" w:hAnsi="Times New Roman" w:cs="Times New Roman"/>
          <w:sz w:val="24"/>
          <w:szCs w:val="24"/>
        </w:rPr>
        <w:t>Incluso empleando los instrumentos más precisos y exactos jamás imaginados, el principio de incertidumbre se mantiene estable y vigente.</w:t>
      </w:r>
      <w:r w:rsidR="00397C5E">
        <w:rPr>
          <w:rFonts w:ascii="Times New Roman" w:hAnsi="Times New Roman" w:cs="Times New Roman"/>
          <w:sz w:val="24"/>
          <w:szCs w:val="24"/>
        </w:rPr>
        <w:t xml:space="preserve"> </w:t>
      </w:r>
      <w:r w:rsidRPr="004E26D4">
        <w:rPr>
          <w:rFonts w:ascii="Times New Roman" w:hAnsi="Times New Roman" w:cs="Times New Roman"/>
          <w:sz w:val="24"/>
          <w:szCs w:val="24"/>
        </w:rPr>
        <w:t>Así, cuanto mayor es la precisión en la medida de una de las magnitudes, mayor es la incertidumbre derivada en l</w:t>
      </w:r>
      <w:r w:rsidR="00397C5E">
        <w:rPr>
          <w:rFonts w:ascii="Times New Roman" w:hAnsi="Times New Roman" w:cs="Times New Roman"/>
          <w:sz w:val="24"/>
          <w:szCs w:val="24"/>
        </w:rPr>
        <w:t xml:space="preserve">a otra variable complementaria. </w:t>
      </w:r>
      <w:r w:rsidRPr="004E26D4">
        <w:rPr>
          <w:rFonts w:ascii="Times New Roman" w:hAnsi="Times New Roman" w:cs="Times New Roman"/>
          <w:sz w:val="24"/>
          <w:szCs w:val="24"/>
        </w:rPr>
        <w:t xml:space="preserve">La posición y la cantidad de movimiento de una partícula respecto de uno de los ejes de coordenadas son magnitudes complementarias, estrictamente sujetas a las restricciones del Principio de Incertidumbre de </w:t>
      </w:r>
      <w:proofErr w:type="spellStart"/>
      <w:r w:rsidRPr="004E26D4">
        <w:rPr>
          <w:rFonts w:ascii="Times New Roman" w:hAnsi="Times New Roman" w:cs="Times New Roman"/>
          <w:sz w:val="24"/>
          <w:szCs w:val="24"/>
        </w:rPr>
        <w:t>Heisenberg</w:t>
      </w:r>
      <w:proofErr w:type="spellEnd"/>
      <w:r w:rsidR="00397C5E">
        <w:rPr>
          <w:rFonts w:ascii="Times New Roman" w:hAnsi="Times New Roman" w:cs="Times New Roman"/>
          <w:sz w:val="24"/>
          <w:szCs w:val="24"/>
        </w:rPr>
        <w:t>”</w:t>
      </w:r>
      <w:sdt>
        <w:sdtPr>
          <w:rPr>
            <w:rFonts w:ascii="Times New Roman" w:hAnsi="Times New Roman" w:cs="Times New Roman"/>
            <w:sz w:val="24"/>
            <w:szCs w:val="24"/>
          </w:rPr>
          <w:id w:val="-987242631"/>
          <w:citation/>
        </w:sdtPr>
        <w:sdtContent>
          <w:r w:rsidR="00397C5E">
            <w:rPr>
              <w:rFonts w:ascii="Times New Roman" w:hAnsi="Times New Roman" w:cs="Times New Roman"/>
              <w:sz w:val="24"/>
              <w:szCs w:val="24"/>
            </w:rPr>
            <w:fldChar w:fldCharType="begin"/>
          </w:r>
          <w:r w:rsidR="00397C5E">
            <w:rPr>
              <w:rFonts w:ascii="Times New Roman" w:hAnsi="Times New Roman" w:cs="Times New Roman"/>
              <w:sz w:val="24"/>
              <w:szCs w:val="24"/>
            </w:rPr>
            <w:instrText xml:space="preserve"> CITATION Bár17 \l 3082 </w:instrText>
          </w:r>
          <w:r w:rsidR="00397C5E">
            <w:rPr>
              <w:rFonts w:ascii="Times New Roman" w:hAnsi="Times New Roman" w:cs="Times New Roman"/>
              <w:sz w:val="24"/>
              <w:szCs w:val="24"/>
            </w:rPr>
            <w:fldChar w:fldCharType="separate"/>
          </w:r>
          <w:r w:rsidR="00397C5E">
            <w:rPr>
              <w:rFonts w:ascii="Times New Roman" w:hAnsi="Times New Roman" w:cs="Times New Roman"/>
              <w:noProof/>
              <w:sz w:val="24"/>
              <w:szCs w:val="24"/>
            </w:rPr>
            <w:t xml:space="preserve"> </w:t>
          </w:r>
          <w:r w:rsidR="00397C5E" w:rsidRPr="00397C5E">
            <w:rPr>
              <w:rFonts w:ascii="Times New Roman" w:hAnsi="Times New Roman" w:cs="Times New Roman"/>
              <w:noProof/>
              <w:sz w:val="24"/>
              <w:szCs w:val="24"/>
            </w:rPr>
            <w:t>(Lizcano, 2017)</w:t>
          </w:r>
          <w:r w:rsidR="00397C5E">
            <w:rPr>
              <w:rFonts w:ascii="Times New Roman" w:hAnsi="Times New Roman" w:cs="Times New Roman"/>
              <w:sz w:val="24"/>
              <w:szCs w:val="24"/>
            </w:rPr>
            <w:fldChar w:fldCharType="end"/>
          </w:r>
        </w:sdtContent>
      </w:sdt>
    </w:p>
    <w:p w:rsidR="00397C5E" w:rsidRDefault="00397C5E" w:rsidP="00397C5E">
      <w:pPr>
        <w:spacing w:line="360" w:lineRule="auto"/>
        <w:ind w:left="708" w:firstLine="709"/>
        <w:jc w:val="both"/>
        <w:rPr>
          <w:rFonts w:ascii="Times New Roman" w:hAnsi="Times New Roman" w:cs="Times New Roman"/>
          <w:sz w:val="24"/>
          <w:szCs w:val="24"/>
        </w:rPr>
      </w:pPr>
      <w:r>
        <w:rPr>
          <w:rFonts w:ascii="Times New Roman" w:hAnsi="Times New Roman" w:cs="Times New Roman"/>
          <w:sz w:val="24"/>
          <w:szCs w:val="24"/>
        </w:rPr>
        <w:t>“</w:t>
      </w:r>
      <w:r w:rsidRPr="00397C5E">
        <w:rPr>
          <w:rFonts w:ascii="Times New Roman" w:hAnsi="Times New Roman" w:cs="Times New Roman"/>
          <w:sz w:val="24"/>
          <w:szCs w:val="24"/>
        </w:rPr>
        <w:t xml:space="preserve">Werner K. </w:t>
      </w:r>
      <w:proofErr w:type="spellStart"/>
      <w:r w:rsidRPr="00397C5E">
        <w:rPr>
          <w:rFonts w:ascii="Times New Roman" w:hAnsi="Times New Roman" w:cs="Times New Roman"/>
          <w:sz w:val="24"/>
          <w:szCs w:val="24"/>
        </w:rPr>
        <w:t>Heisenberg</w:t>
      </w:r>
      <w:proofErr w:type="spellEnd"/>
      <w:r w:rsidRPr="00397C5E">
        <w:rPr>
          <w:rFonts w:ascii="Times New Roman" w:hAnsi="Times New Roman" w:cs="Times New Roman"/>
          <w:sz w:val="24"/>
          <w:szCs w:val="24"/>
        </w:rPr>
        <w:t>, físico alemán conocido por enunciar el principio de incertidumbre que lleva su nombre en 1927, siendo una contribución funda</w:t>
      </w:r>
      <w:r>
        <w:rPr>
          <w:rFonts w:ascii="Times New Roman" w:hAnsi="Times New Roman" w:cs="Times New Roman"/>
          <w:sz w:val="24"/>
          <w:szCs w:val="24"/>
        </w:rPr>
        <w:t xml:space="preserve">mental para la teoría cuántica. </w:t>
      </w:r>
      <w:r w:rsidRPr="00397C5E">
        <w:rPr>
          <w:rFonts w:ascii="Times New Roman" w:hAnsi="Times New Roman" w:cs="Times New Roman"/>
          <w:sz w:val="24"/>
          <w:szCs w:val="24"/>
        </w:rPr>
        <w:t xml:space="preserve">El principio de incertidumbre de </w:t>
      </w:r>
      <w:proofErr w:type="spellStart"/>
      <w:r w:rsidRPr="00397C5E">
        <w:rPr>
          <w:rFonts w:ascii="Times New Roman" w:hAnsi="Times New Roman" w:cs="Times New Roman"/>
          <w:sz w:val="24"/>
          <w:szCs w:val="24"/>
        </w:rPr>
        <w:t>Heisenberg</w:t>
      </w:r>
      <w:proofErr w:type="spellEnd"/>
      <w:r w:rsidRPr="00397C5E">
        <w:rPr>
          <w:rFonts w:ascii="Times New Roman" w:hAnsi="Times New Roman" w:cs="Times New Roman"/>
          <w:sz w:val="24"/>
          <w:szCs w:val="24"/>
        </w:rPr>
        <w:t>, también conocido la “relación de indeterminación”, afirma la imposibilidad de realizar la medición precisa de la posición y del momento lineal (cantidad de movimientos) de una partícula al mismo tiempo. Esto produce que las partículas, en su movimiento no tienen una trayectoria definida.</w:t>
      </w:r>
      <w:r>
        <w:rPr>
          <w:rFonts w:ascii="Times New Roman" w:hAnsi="Times New Roman" w:cs="Times New Roman"/>
          <w:sz w:val="24"/>
          <w:szCs w:val="24"/>
        </w:rPr>
        <w:t>”</w:t>
      </w:r>
    </w:p>
    <w:p w:rsidR="00397C5E" w:rsidRPr="00397C5E" w:rsidRDefault="00397C5E" w:rsidP="00397C5E">
      <w:pPr>
        <w:spacing w:line="360" w:lineRule="auto"/>
        <w:ind w:left="708" w:firstLine="709"/>
        <w:jc w:val="both"/>
        <w:rPr>
          <w:rFonts w:ascii="Times New Roman" w:hAnsi="Times New Roman" w:cs="Times New Roman"/>
          <w:sz w:val="24"/>
          <w:szCs w:val="24"/>
        </w:rPr>
      </w:pPr>
      <w:r w:rsidRPr="00397C5E">
        <w:rPr>
          <w:rFonts w:ascii="Times New Roman" w:hAnsi="Times New Roman" w:cs="Times New Roman"/>
          <w:sz w:val="24"/>
          <w:szCs w:val="24"/>
        </w:rPr>
        <w:t xml:space="preserve">Las medidas del objeto que se esté observando se verán afectadas por una desviación estándar, designada como </w:t>
      </w:r>
      <w:proofErr w:type="spellStart"/>
      <w:r w:rsidRPr="00397C5E">
        <w:rPr>
          <w:rFonts w:ascii="Times New Roman" w:hAnsi="Times New Roman" w:cs="Times New Roman"/>
          <w:sz w:val="24"/>
          <w:szCs w:val="24"/>
        </w:rPr>
        <w:t>Δx</w:t>
      </w:r>
      <w:proofErr w:type="spellEnd"/>
      <w:r w:rsidRPr="00397C5E">
        <w:rPr>
          <w:rFonts w:ascii="Times New Roman" w:hAnsi="Times New Roman" w:cs="Times New Roman"/>
          <w:sz w:val="24"/>
          <w:szCs w:val="24"/>
        </w:rPr>
        <w:t xml:space="preserve">, para la posición y </w:t>
      </w:r>
      <w:proofErr w:type="spellStart"/>
      <w:r w:rsidRPr="00397C5E">
        <w:rPr>
          <w:rFonts w:ascii="Times New Roman" w:hAnsi="Times New Roman" w:cs="Times New Roman"/>
          <w:sz w:val="24"/>
          <w:szCs w:val="24"/>
        </w:rPr>
        <w:t>Δp</w:t>
      </w:r>
      <w:proofErr w:type="spellEnd"/>
      <w:r w:rsidRPr="00397C5E">
        <w:rPr>
          <w:rFonts w:ascii="Times New Roman" w:hAnsi="Times New Roman" w:cs="Times New Roman"/>
          <w:sz w:val="24"/>
          <w:szCs w:val="24"/>
        </w:rPr>
        <w:t>, para el movimiento. Se comprueba así el principio de indeterminación que matemáticamente se expresa como:</w:t>
      </w:r>
    </w:p>
    <w:p w:rsidR="00397C5E" w:rsidRPr="00397C5E" w:rsidRDefault="00397C5E" w:rsidP="00397C5E">
      <w:pPr>
        <w:spacing w:line="360" w:lineRule="auto"/>
        <w:ind w:left="708" w:firstLine="709"/>
        <w:jc w:val="center"/>
        <w:rPr>
          <w:rFonts w:ascii="Times New Roman" w:hAnsi="Times New Roman" w:cs="Times New Roman"/>
          <w:sz w:val="24"/>
          <w:szCs w:val="24"/>
        </w:rPr>
      </w:pPr>
      <w:proofErr w:type="spellStart"/>
      <w:proofErr w:type="gramStart"/>
      <w:r w:rsidRPr="00397C5E">
        <w:rPr>
          <w:rFonts w:ascii="Times New Roman" w:hAnsi="Times New Roman" w:cs="Times New Roman"/>
          <w:sz w:val="24"/>
          <w:szCs w:val="24"/>
        </w:rPr>
        <w:t>Δx</w:t>
      </w:r>
      <w:proofErr w:type="spellEnd"/>
      <w:r w:rsidRPr="00397C5E">
        <w:rPr>
          <w:rFonts w:ascii="Times New Roman" w:hAnsi="Times New Roman" w:cs="Times New Roman"/>
          <w:sz w:val="24"/>
          <w:szCs w:val="24"/>
        </w:rPr>
        <w:t xml:space="preserve"> .</w:t>
      </w:r>
      <w:proofErr w:type="gramEnd"/>
      <w:r w:rsidRPr="00397C5E">
        <w:rPr>
          <w:rFonts w:ascii="Times New Roman" w:hAnsi="Times New Roman" w:cs="Times New Roman"/>
          <w:sz w:val="24"/>
          <w:szCs w:val="24"/>
        </w:rPr>
        <w:t xml:space="preserve"> </w:t>
      </w:r>
      <w:proofErr w:type="spellStart"/>
      <w:r w:rsidRPr="00397C5E">
        <w:rPr>
          <w:rFonts w:ascii="Times New Roman" w:hAnsi="Times New Roman" w:cs="Times New Roman"/>
          <w:sz w:val="24"/>
          <w:szCs w:val="24"/>
        </w:rPr>
        <w:t>Δp</w:t>
      </w:r>
      <w:proofErr w:type="spellEnd"/>
      <w:r w:rsidRPr="00397C5E">
        <w:rPr>
          <w:rFonts w:ascii="Times New Roman" w:hAnsi="Times New Roman" w:cs="Times New Roman"/>
          <w:sz w:val="24"/>
          <w:szCs w:val="24"/>
        </w:rPr>
        <w:t xml:space="preserve"> ≥ h/</w:t>
      </w:r>
      <w:proofErr w:type="gramStart"/>
      <w:r w:rsidRPr="00397C5E">
        <w:rPr>
          <w:rFonts w:ascii="Times New Roman" w:hAnsi="Times New Roman" w:cs="Times New Roman"/>
          <w:sz w:val="24"/>
          <w:szCs w:val="24"/>
        </w:rPr>
        <w:t>2π ,</w:t>
      </w:r>
      <w:proofErr w:type="gramEnd"/>
    </w:p>
    <w:p w:rsidR="00397C5E" w:rsidRPr="00397C5E" w:rsidRDefault="00397C5E" w:rsidP="00397C5E">
      <w:pPr>
        <w:spacing w:line="360" w:lineRule="auto"/>
        <w:ind w:left="708" w:firstLine="709"/>
        <w:jc w:val="both"/>
        <w:rPr>
          <w:rFonts w:ascii="Times New Roman" w:hAnsi="Times New Roman" w:cs="Times New Roman"/>
          <w:sz w:val="24"/>
          <w:szCs w:val="24"/>
        </w:rPr>
      </w:pPr>
    </w:p>
    <w:p w:rsidR="00397C5E" w:rsidRDefault="00397C5E" w:rsidP="00397C5E">
      <w:pPr>
        <w:spacing w:line="360" w:lineRule="auto"/>
        <w:ind w:left="708" w:firstLine="709"/>
        <w:jc w:val="both"/>
        <w:rPr>
          <w:rFonts w:ascii="Times New Roman" w:hAnsi="Times New Roman" w:cs="Times New Roman"/>
          <w:sz w:val="24"/>
          <w:szCs w:val="24"/>
        </w:rPr>
      </w:pPr>
      <w:r>
        <w:rPr>
          <w:rFonts w:ascii="Times New Roman" w:hAnsi="Times New Roman" w:cs="Times New Roman"/>
          <w:sz w:val="24"/>
          <w:szCs w:val="24"/>
        </w:rPr>
        <w:t xml:space="preserve">En </w:t>
      </w:r>
      <w:r w:rsidRPr="00397C5E">
        <w:rPr>
          <w:rFonts w:ascii="Times New Roman" w:hAnsi="Times New Roman" w:cs="Times New Roman"/>
          <w:sz w:val="24"/>
          <w:szCs w:val="24"/>
        </w:rPr>
        <w:t xml:space="preserve">donde “h” es la constante de Planck con un valor conocido de h= 6.6260693 (11) x 10^-34 </w:t>
      </w:r>
      <w:proofErr w:type="spellStart"/>
      <w:r w:rsidRPr="00397C5E">
        <w:rPr>
          <w:rFonts w:ascii="Times New Roman" w:hAnsi="Times New Roman" w:cs="Times New Roman"/>
          <w:sz w:val="24"/>
          <w:szCs w:val="24"/>
        </w:rPr>
        <w:t>J.s</w:t>
      </w:r>
      <w:proofErr w:type="spellEnd"/>
    </w:p>
    <w:p w:rsidR="00397C5E" w:rsidRDefault="00397C5E" w:rsidP="00397C5E">
      <w:pPr>
        <w:spacing w:line="360" w:lineRule="auto"/>
        <w:ind w:left="708" w:firstLine="709"/>
        <w:jc w:val="both"/>
        <w:rPr>
          <w:rFonts w:ascii="Times New Roman" w:hAnsi="Times New Roman" w:cs="Times New Roman"/>
          <w:sz w:val="24"/>
          <w:szCs w:val="24"/>
        </w:rPr>
      </w:pPr>
      <w:r w:rsidRPr="00397C5E">
        <w:rPr>
          <w:rFonts w:ascii="Times New Roman" w:hAnsi="Times New Roman" w:cs="Times New Roman"/>
          <w:sz w:val="24"/>
          <w:szCs w:val="24"/>
        </w:rPr>
        <w:t>El principio de incertidumbre tiene sus consecuencias, pues produce un cambio en la física, ya que se pasa de tener un conocimiento totalmente preciso en la teoría, pero no en el conocimiento, que se encu</w:t>
      </w:r>
      <w:r>
        <w:rPr>
          <w:rFonts w:ascii="Times New Roman" w:hAnsi="Times New Roman" w:cs="Times New Roman"/>
          <w:sz w:val="24"/>
          <w:szCs w:val="24"/>
        </w:rPr>
        <w:t xml:space="preserve">entra basado en </w:t>
      </w:r>
      <w:proofErr w:type="spellStart"/>
      <w:r>
        <w:rPr>
          <w:rFonts w:ascii="Times New Roman" w:hAnsi="Times New Roman" w:cs="Times New Roman"/>
          <w:sz w:val="24"/>
          <w:szCs w:val="24"/>
        </w:rPr>
        <w:t>probabilidades.</w:t>
      </w:r>
      <w:r w:rsidRPr="00397C5E">
        <w:rPr>
          <w:rFonts w:ascii="Times New Roman" w:hAnsi="Times New Roman" w:cs="Times New Roman"/>
          <w:sz w:val="24"/>
          <w:szCs w:val="24"/>
        </w:rPr>
        <w:t>Este</w:t>
      </w:r>
      <w:proofErr w:type="spellEnd"/>
      <w:r w:rsidRPr="00397C5E">
        <w:rPr>
          <w:rFonts w:ascii="Times New Roman" w:hAnsi="Times New Roman" w:cs="Times New Roman"/>
          <w:sz w:val="24"/>
          <w:szCs w:val="24"/>
        </w:rPr>
        <w:t xml:space="preserve"> resultado, como tanto otros en la mecánica cuántica, sólo afecta a la fisicoquímica subatómica, debido a que la constante de Planck es bastante pequeña, en un universo macroscópico la incertidumbre cuántica es </w:t>
      </w:r>
      <w:r w:rsidRPr="00397C5E">
        <w:rPr>
          <w:rFonts w:ascii="Times New Roman" w:hAnsi="Times New Roman" w:cs="Times New Roman"/>
          <w:sz w:val="24"/>
          <w:szCs w:val="24"/>
        </w:rPr>
        <w:lastRenderedPageBreak/>
        <w:t>despreciable, y continúan teniendo validez las teorías relativistas, como la de Einstein.</w:t>
      </w:r>
      <w:r>
        <w:rPr>
          <w:rFonts w:ascii="Times New Roman" w:hAnsi="Times New Roman" w:cs="Times New Roman"/>
          <w:sz w:val="24"/>
          <w:szCs w:val="24"/>
        </w:rPr>
        <w:t>”</w:t>
      </w:r>
      <w:sdt>
        <w:sdtPr>
          <w:rPr>
            <w:rFonts w:ascii="Times New Roman" w:hAnsi="Times New Roman" w:cs="Times New Roman"/>
            <w:sz w:val="24"/>
            <w:szCs w:val="24"/>
          </w:rPr>
          <w:id w:val="2058349371"/>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Áng10 \l 3082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397C5E">
            <w:rPr>
              <w:rFonts w:ascii="Times New Roman" w:hAnsi="Times New Roman" w:cs="Times New Roman"/>
              <w:noProof/>
              <w:sz w:val="24"/>
              <w:szCs w:val="24"/>
            </w:rPr>
            <w:t>(Méndez, 2010)</w:t>
          </w:r>
          <w:r>
            <w:rPr>
              <w:rFonts w:ascii="Times New Roman" w:hAnsi="Times New Roman" w:cs="Times New Roman"/>
              <w:sz w:val="24"/>
              <w:szCs w:val="24"/>
            </w:rPr>
            <w:fldChar w:fldCharType="end"/>
          </w:r>
        </w:sdtContent>
      </w:sdt>
    </w:p>
    <w:sdt>
      <w:sdtPr>
        <w:id w:val="2090960878"/>
        <w:docPartObj>
          <w:docPartGallery w:val="Bibliographies"/>
          <w:docPartUnique/>
        </w:docPartObj>
      </w:sdtPr>
      <w:sdtEndPr>
        <w:rPr>
          <w:rFonts w:asciiTheme="minorHAnsi" w:eastAsiaTheme="minorHAnsi" w:hAnsiTheme="minorHAnsi" w:cstheme="minorBidi"/>
          <w:color w:val="auto"/>
          <w:sz w:val="22"/>
          <w:szCs w:val="22"/>
          <w:lang w:eastAsia="en-US"/>
        </w:rPr>
      </w:sdtEndPr>
      <w:sdtContent>
        <w:p w:rsidR="00397C5E" w:rsidRDefault="00397C5E">
          <w:pPr>
            <w:pStyle w:val="Ttulo1"/>
          </w:pPr>
          <w:r>
            <w:t>Trabajos citados</w:t>
          </w:r>
        </w:p>
        <w:p w:rsidR="00397C5E" w:rsidRDefault="00397C5E" w:rsidP="00397C5E">
          <w:pPr>
            <w:pStyle w:val="Bibliografa"/>
            <w:ind w:left="720" w:hanging="720"/>
            <w:rPr>
              <w:noProof/>
            </w:rPr>
          </w:pPr>
          <w:r>
            <w:fldChar w:fldCharType="begin"/>
          </w:r>
          <w:r>
            <w:instrText>BIBLIOGRAPHY</w:instrText>
          </w:r>
          <w:r>
            <w:fldChar w:fldCharType="separate"/>
          </w:r>
          <w:r>
            <w:rPr>
              <w:noProof/>
            </w:rPr>
            <w:t xml:space="preserve">Cáceres, J. G. (2010). </w:t>
          </w:r>
          <w:r>
            <w:rPr>
              <w:i/>
              <w:iCs/>
              <w:noProof/>
            </w:rPr>
            <w:t>GESTIÓN CULTURAL E INGENIERÍA EN COMUNICACIÓN SOCIAL¿Qué es gestión cultural y cómo puede incidir la participación ciudadana en la cultura?</w:t>
          </w:r>
          <w:r>
            <w:rPr>
              <w:noProof/>
            </w:rPr>
            <w:t xml:space="preserve"> Recuperado el 05 de Octubre de 2019, de https://perio.unlp.edu.ar/ojs/index.php/question/article/view/963/886?fbclid=IwAR08DYwH6bJjeUL3Bv3YdbVNjx2jQYKzkQwnjzTfbFoUHs9vJueL1u_N-b8</w:t>
          </w:r>
        </w:p>
        <w:p w:rsidR="00397C5E" w:rsidRDefault="00397C5E" w:rsidP="00397C5E">
          <w:pPr>
            <w:pStyle w:val="Bibliografa"/>
            <w:ind w:left="720" w:hanging="720"/>
            <w:rPr>
              <w:noProof/>
            </w:rPr>
          </w:pPr>
          <w:r>
            <w:rPr>
              <w:noProof/>
            </w:rPr>
            <w:t xml:space="preserve">Castellanos, E. J. (04 de Mayo de 2011). </w:t>
          </w:r>
          <w:r>
            <w:rPr>
              <w:i/>
              <w:iCs/>
              <w:noProof/>
            </w:rPr>
            <w:t>Revista seguridad UNAM.</w:t>
          </w:r>
          <w:r>
            <w:rPr>
              <w:noProof/>
            </w:rPr>
            <w:t xml:space="preserve"> Recuperado el 05 de octubre de 2019, de Universidad Nacional Autonoma de México : https://revista.seguridad.unam.mx/numero-10/ingenier%C3%AD-social-corrompiendo-la-mente-humana</w:t>
          </w:r>
        </w:p>
        <w:p w:rsidR="00397C5E" w:rsidRDefault="00397C5E" w:rsidP="00397C5E">
          <w:pPr>
            <w:pStyle w:val="Bibliografa"/>
            <w:ind w:left="720" w:hanging="720"/>
            <w:rPr>
              <w:noProof/>
            </w:rPr>
          </w:pPr>
          <w:r>
            <w:rPr>
              <w:noProof/>
            </w:rPr>
            <w:t>Eulalio Ferrer Centro Avanzada de Comunicación. (16 de Abril de 2016). Recuperado el 05 de Octubre de 2019, de http://www.cadec.mx/index.php/component/spsimpleportfolio/item/2-jesus-galindo?fbclid=IwAR17hyVguRyzFNi213Mmctfq78xxsYAO00xvOYPtF6PhV2pTLLI-yEHlHi0</w:t>
          </w:r>
        </w:p>
        <w:p w:rsidR="00397C5E" w:rsidRDefault="00397C5E" w:rsidP="00397C5E">
          <w:pPr>
            <w:pStyle w:val="Bibliografa"/>
            <w:ind w:left="720" w:hanging="720"/>
            <w:rPr>
              <w:noProof/>
            </w:rPr>
          </w:pPr>
          <w:r>
            <w:rPr>
              <w:noProof/>
            </w:rPr>
            <w:t xml:space="preserve">Lizcano, B. C. (28 de junio de 2017). </w:t>
          </w:r>
          <w:r>
            <w:rPr>
              <w:i/>
              <w:iCs/>
              <w:noProof/>
            </w:rPr>
            <w:t>Academiaplay.</w:t>
          </w:r>
          <w:r>
            <w:rPr>
              <w:noProof/>
            </w:rPr>
            <w:t xml:space="preserve"> Recuperado el 05 de octubre de 2019, de https://academiaplay.es/principio-incertidumbre/</w:t>
          </w:r>
        </w:p>
        <w:p w:rsidR="00397C5E" w:rsidRDefault="00397C5E" w:rsidP="00397C5E">
          <w:pPr>
            <w:pStyle w:val="Bibliografa"/>
            <w:ind w:left="720" w:hanging="720"/>
            <w:rPr>
              <w:noProof/>
            </w:rPr>
          </w:pPr>
          <w:r>
            <w:rPr>
              <w:noProof/>
            </w:rPr>
            <w:t xml:space="preserve">Méndez, Á. (16 de Abril de 2010). </w:t>
          </w:r>
          <w:r>
            <w:rPr>
              <w:i/>
              <w:iCs/>
              <w:noProof/>
            </w:rPr>
            <w:t>La guía.</w:t>
          </w:r>
          <w:r>
            <w:rPr>
              <w:noProof/>
            </w:rPr>
            <w:t xml:space="preserve"> Recuperado el 05 de Octubre de 2019, de https://quimica.laguia2000.com/general/principio-de-incertidumbre-de-heisenberg</w:t>
          </w:r>
        </w:p>
        <w:p w:rsidR="00397C5E" w:rsidRDefault="00397C5E" w:rsidP="00397C5E">
          <w:pPr>
            <w:pStyle w:val="Bibliografa"/>
            <w:ind w:left="720" w:hanging="720"/>
            <w:rPr>
              <w:noProof/>
            </w:rPr>
          </w:pPr>
          <w:r>
            <w:rPr>
              <w:noProof/>
            </w:rPr>
            <w:t xml:space="preserve">Mimenza, O. C. (s.f.). </w:t>
          </w:r>
          <w:r>
            <w:rPr>
              <w:i/>
              <w:iCs/>
              <w:noProof/>
            </w:rPr>
            <w:t>Psicología y mente .</w:t>
          </w:r>
          <w:r>
            <w:rPr>
              <w:noProof/>
            </w:rPr>
            <w:t xml:space="preserve"> Recuperado el 05 de Octubre de 2019, de https://psicologiaymente.com/miscelanea/principio-incertidumbre-heisenberg</w:t>
          </w:r>
        </w:p>
        <w:p w:rsidR="00397C5E" w:rsidRDefault="00397C5E" w:rsidP="00397C5E">
          <w:r>
            <w:rPr>
              <w:b/>
              <w:bCs/>
            </w:rPr>
            <w:fldChar w:fldCharType="end"/>
          </w:r>
        </w:p>
      </w:sdtContent>
    </w:sdt>
    <w:p w:rsidR="00397C5E" w:rsidRPr="004E26D4" w:rsidRDefault="00397C5E" w:rsidP="00397C5E">
      <w:pPr>
        <w:spacing w:line="360" w:lineRule="auto"/>
        <w:ind w:left="708" w:firstLine="709"/>
        <w:jc w:val="both"/>
        <w:rPr>
          <w:rFonts w:ascii="Times New Roman" w:hAnsi="Times New Roman" w:cs="Times New Roman"/>
          <w:sz w:val="24"/>
          <w:szCs w:val="24"/>
        </w:rPr>
      </w:pPr>
      <w:bookmarkStart w:id="0" w:name="_GoBack"/>
      <w:bookmarkEnd w:id="0"/>
    </w:p>
    <w:sectPr w:rsidR="00397C5E" w:rsidRPr="004E26D4">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5EBA" w:rsidRDefault="007D5EBA" w:rsidP="00B64E58">
      <w:pPr>
        <w:spacing w:after="0" w:line="240" w:lineRule="auto"/>
      </w:pPr>
      <w:r>
        <w:separator/>
      </w:r>
    </w:p>
  </w:endnote>
  <w:endnote w:type="continuationSeparator" w:id="0">
    <w:p w:rsidR="007D5EBA" w:rsidRDefault="007D5EBA" w:rsidP="00B64E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5EBA" w:rsidRDefault="007D5EBA" w:rsidP="00B64E58">
      <w:pPr>
        <w:spacing w:after="0" w:line="240" w:lineRule="auto"/>
      </w:pPr>
      <w:r>
        <w:separator/>
      </w:r>
    </w:p>
  </w:footnote>
  <w:footnote w:type="continuationSeparator" w:id="0">
    <w:p w:rsidR="007D5EBA" w:rsidRDefault="007D5EBA" w:rsidP="00B64E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4E58" w:rsidRDefault="00B64E58" w:rsidP="00B64E58">
    <w:pPr>
      <w:pStyle w:val="Encabezado"/>
      <w:jc w:val="center"/>
    </w:pPr>
    <w:r>
      <w:rPr>
        <w:noProof/>
        <w:lang w:eastAsia="es-ES"/>
      </w:rPr>
      <w:drawing>
        <wp:inline distT="0" distB="0" distL="0" distR="0">
          <wp:extent cx="815546" cy="815546"/>
          <wp:effectExtent l="0" t="0" r="3810" b="3810"/>
          <wp:docPr id="1" name="Imagen 1" descr="Sello UCE - Universidad Central del Ecuador (Sello .P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llo UCE - Universidad Central del Ecuador (Sello .PNG ..."/>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4945" cy="81494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E58"/>
    <w:rsid w:val="001E58CF"/>
    <w:rsid w:val="002424B3"/>
    <w:rsid w:val="00397C5E"/>
    <w:rsid w:val="00436E85"/>
    <w:rsid w:val="004E26D4"/>
    <w:rsid w:val="005630FC"/>
    <w:rsid w:val="00794278"/>
    <w:rsid w:val="007D5EBA"/>
    <w:rsid w:val="00860F1E"/>
    <w:rsid w:val="00946A03"/>
    <w:rsid w:val="00A10731"/>
    <w:rsid w:val="00B64E58"/>
    <w:rsid w:val="00EB62C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397C5E"/>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64E5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64E58"/>
  </w:style>
  <w:style w:type="paragraph" w:styleId="Piedepgina">
    <w:name w:val="footer"/>
    <w:basedOn w:val="Normal"/>
    <w:link w:val="PiedepginaCar"/>
    <w:uiPriority w:val="99"/>
    <w:unhideWhenUsed/>
    <w:rsid w:val="00B64E5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64E58"/>
  </w:style>
  <w:style w:type="paragraph" w:styleId="Textodeglobo">
    <w:name w:val="Balloon Text"/>
    <w:basedOn w:val="Normal"/>
    <w:link w:val="TextodegloboCar"/>
    <w:uiPriority w:val="99"/>
    <w:semiHidden/>
    <w:unhideWhenUsed/>
    <w:rsid w:val="00B64E5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64E58"/>
    <w:rPr>
      <w:rFonts w:ascii="Tahoma" w:hAnsi="Tahoma" w:cs="Tahoma"/>
      <w:sz w:val="16"/>
      <w:szCs w:val="16"/>
    </w:rPr>
  </w:style>
  <w:style w:type="character" w:customStyle="1" w:styleId="Ttulo1Car">
    <w:name w:val="Título 1 Car"/>
    <w:basedOn w:val="Fuentedeprrafopredeter"/>
    <w:link w:val="Ttulo1"/>
    <w:uiPriority w:val="9"/>
    <w:rsid w:val="00397C5E"/>
    <w:rPr>
      <w:rFonts w:asciiTheme="majorHAnsi" w:eastAsiaTheme="majorEastAsia" w:hAnsiTheme="majorHAnsi" w:cstheme="majorBidi"/>
      <w:b/>
      <w:bCs/>
      <w:color w:val="365F91" w:themeColor="accent1" w:themeShade="BF"/>
      <w:sz w:val="28"/>
      <w:szCs w:val="28"/>
      <w:lang w:eastAsia="es-ES"/>
    </w:rPr>
  </w:style>
  <w:style w:type="paragraph" w:styleId="Bibliografa">
    <w:name w:val="Bibliography"/>
    <w:basedOn w:val="Normal"/>
    <w:next w:val="Normal"/>
    <w:uiPriority w:val="37"/>
    <w:unhideWhenUsed/>
    <w:rsid w:val="00397C5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397C5E"/>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64E5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64E58"/>
  </w:style>
  <w:style w:type="paragraph" w:styleId="Piedepgina">
    <w:name w:val="footer"/>
    <w:basedOn w:val="Normal"/>
    <w:link w:val="PiedepginaCar"/>
    <w:uiPriority w:val="99"/>
    <w:unhideWhenUsed/>
    <w:rsid w:val="00B64E5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64E58"/>
  </w:style>
  <w:style w:type="paragraph" w:styleId="Textodeglobo">
    <w:name w:val="Balloon Text"/>
    <w:basedOn w:val="Normal"/>
    <w:link w:val="TextodegloboCar"/>
    <w:uiPriority w:val="99"/>
    <w:semiHidden/>
    <w:unhideWhenUsed/>
    <w:rsid w:val="00B64E5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64E58"/>
    <w:rPr>
      <w:rFonts w:ascii="Tahoma" w:hAnsi="Tahoma" w:cs="Tahoma"/>
      <w:sz w:val="16"/>
      <w:szCs w:val="16"/>
    </w:rPr>
  </w:style>
  <w:style w:type="character" w:customStyle="1" w:styleId="Ttulo1Car">
    <w:name w:val="Título 1 Car"/>
    <w:basedOn w:val="Fuentedeprrafopredeter"/>
    <w:link w:val="Ttulo1"/>
    <w:uiPriority w:val="9"/>
    <w:rsid w:val="00397C5E"/>
    <w:rPr>
      <w:rFonts w:asciiTheme="majorHAnsi" w:eastAsiaTheme="majorEastAsia" w:hAnsiTheme="majorHAnsi" w:cstheme="majorBidi"/>
      <w:b/>
      <w:bCs/>
      <w:color w:val="365F91" w:themeColor="accent1" w:themeShade="BF"/>
      <w:sz w:val="28"/>
      <w:szCs w:val="28"/>
      <w:lang w:eastAsia="es-ES"/>
    </w:rPr>
  </w:style>
  <w:style w:type="paragraph" w:styleId="Bibliografa">
    <w:name w:val="Bibliography"/>
    <w:basedOn w:val="Normal"/>
    <w:next w:val="Normal"/>
    <w:uiPriority w:val="37"/>
    <w:unhideWhenUsed/>
    <w:rsid w:val="00397C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140734">
      <w:bodyDiv w:val="1"/>
      <w:marLeft w:val="0"/>
      <w:marRight w:val="0"/>
      <w:marTop w:val="0"/>
      <w:marBottom w:val="0"/>
      <w:divBdr>
        <w:top w:val="none" w:sz="0" w:space="0" w:color="auto"/>
        <w:left w:val="none" w:sz="0" w:space="0" w:color="auto"/>
        <w:bottom w:val="none" w:sz="0" w:space="0" w:color="auto"/>
        <w:right w:val="none" w:sz="0" w:space="0" w:color="auto"/>
      </w:divBdr>
    </w:div>
    <w:div w:id="540478086">
      <w:bodyDiv w:val="1"/>
      <w:marLeft w:val="0"/>
      <w:marRight w:val="0"/>
      <w:marTop w:val="0"/>
      <w:marBottom w:val="0"/>
      <w:divBdr>
        <w:top w:val="none" w:sz="0" w:space="0" w:color="auto"/>
        <w:left w:val="none" w:sz="0" w:space="0" w:color="auto"/>
        <w:bottom w:val="none" w:sz="0" w:space="0" w:color="auto"/>
        <w:right w:val="none" w:sz="0" w:space="0" w:color="auto"/>
      </w:divBdr>
      <w:divsChild>
        <w:div w:id="313721908">
          <w:marLeft w:val="0"/>
          <w:marRight w:val="0"/>
          <w:marTop w:val="15"/>
          <w:marBottom w:val="0"/>
          <w:divBdr>
            <w:top w:val="none" w:sz="0" w:space="0" w:color="auto"/>
            <w:left w:val="none" w:sz="0" w:space="0" w:color="auto"/>
            <w:bottom w:val="none" w:sz="0" w:space="0" w:color="auto"/>
            <w:right w:val="none" w:sz="0" w:space="0" w:color="auto"/>
          </w:divBdr>
          <w:divsChild>
            <w:div w:id="804002785">
              <w:marLeft w:val="0"/>
              <w:marRight w:val="0"/>
              <w:marTop w:val="0"/>
              <w:marBottom w:val="0"/>
              <w:divBdr>
                <w:top w:val="none" w:sz="0" w:space="0" w:color="auto"/>
                <w:left w:val="none" w:sz="0" w:space="0" w:color="auto"/>
                <w:bottom w:val="none" w:sz="0" w:space="0" w:color="auto"/>
                <w:right w:val="none" w:sz="0" w:space="0" w:color="auto"/>
              </w:divBdr>
              <w:divsChild>
                <w:div w:id="83769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041713">
          <w:marLeft w:val="0"/>
          <w:marRight w:val="0"/>
          <w:marTop w:val="15"/>
          <w:marBottom w:val="0"/>
          <w:divBdr>
            <w:top w:val="none" w:sz="0" w:space="0" w:color="auto"/>
            <w:left w:val="none" w:sz="0" w:space="0" w:color="auto"/>
            <w:bottom w:val="none" w:sz="0" w:space="0" w:color="auto"/>
            <w:right w:val="none" w:sz="0" w:space="0" w:color="auto"/>
          </w:divBdr>
          <w:divsChild>
            <w:div w:id="1028605413">
              <w:marLeft w:val="0"/>
              <w:marRight w:val="0"/>
              <w:marTop w:val="0"/>
              <w:marBottom w:val="0"/>
              <w:divBdr>
                <w:top w:val="none" w:sz="0" w:space="0" w:color="auto"/>
                <w:left w:val="none" w:sz="0" w:space="0" w:color="auto"/>
                <w:bottom w:val="none" w:sz="0" w:space="0" w:color="auto"/>
                <w:right w:val="none" w:sz="0" w:space="0" w:color="auto"/>
              </w:divBdr>
              <w:divsChild>
                <w:div w:id="1404182475">
                  <w:marLeft w:val="0"/>
                  <w:marRight w:val="0"/>
                  <w:marTop w:val="0"/>
                  <w:marBottom w:val="0"/>
                  <w:divBdr>
                    <w:top w:val="none" w:sz="0" w:space="0" w:color="auto"/>
                    <w:left w:val="none" w:sz="0" w:space="0" w:color="auto"/>
                    <w:bottom w:val="none" w:sz="0" w:space="0" w:color="auto"/>
                    <w:right w:val="none" w:sz="0" w:space="0" w:color="auto"/>
                  </w:divBdr>
                </w:div>
                <w:div w:id="769162327">
                  <w:marLeft w:val="0"/>
                  <w:marRight w:val="0"/>
                  <w:marTop w:val="0"/>
                  <w:marBottom w:val="0"/>
                  <w:divBdr>
                    <w:top w:val="none" w:sz="0" w:space="0" w:color="auto"/>
                    <w:left w:val="none" w:sz="0" w:space="0" w:color="auto"/>
                    <w:bottom w:val="none" w:sz="0" w:space="0" w:color="auto"/>
                    <w:right w:val="none" w:sz="0" w:space="0" w:color="auto"/>
                  </w:divBdr>
                </w:div>
                <w:div w:id="1269197562">
                  <w:marLeft w:val="0"/>
                  <w:marRight w:val="0"/>
                  <w:marTop w:val="0"/>
                  <w:marBottom w:val="0"/>
                  <w:divBdr>
                    <w:top w:val="none" w:sz="0" w:space="0" w:color="auto"/>
                    <w:left w:val="none" w:sz="0" w:space="0" w:color="auto"/>
                    <w:bottom w:val="none" w:sz="0" w:space="0" w:color="auto"/>
                    <w:right w:val="none" w:sz="0" w:space="0" w:color="auto"/>
                  </w:divBdr>
                </w:div>
                <w:div w:id="525140065">
                  <w:marLeft w:val="0"/>
                  <w:marRight w:val="0"/>
                  <w:marTop w:val="0"/>
                  <w:marBottom w:val="0"/>
                  <w:divBdr>
                    <w:top w:val="none" w:sz="0" w:space="0" w:color="auto"/>
                    <w:left w:val="none" w:sz="0" w:space="0" w:color="auto"/>
                    <w:bottom w:val="none" w:sz="0" w:space="0" w:color="auto"/>
                    <w:right w:val="none" w:sz="0" w:space="0" w:color="auto"/>
                  </w:divBdr>
                </w:div>
                <w:div w:id="5318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475441">
      <w:bodyDiv w:val="1"/>
      <w:marLeft w:val="0"/>
      <w:marRight w:val="0"/>
      <w:marTop w:val="0"/>
      <w:marBottom w:val="0"/>
      <w:divBdr>
        <w:top w:val="none" w:sz="0" w:space="0" w:color="auto"/>
        <w:left w:val="none" w:sz="0" w:space="0" w:color="auto"/>
        <w:bottom w:val="none" w:sz="0" w:space="0" w:color="auto"/>
        <w:right w:val="none" w:sz="0" w:space="0" w:color="auto"/>
      </w:divBdr>
      <w:divsChild>
        <w:div w:id="1245871540">
          <w:marLeft w:val="0"/>
          <w:marRight w:val="0"/>
          <w:marTop w:val="15"/>
          <w:marBottom w:val="0"/>
          <w:divBdr>
            <w:top w:val="none" w:sz="0" w:space="0" w:color="auto"/>
            <w:left w:val="none" w:sz="0" w:space="0" w:color="auto"/>
            <w:bottom w:val="none" w:sz="0" w:space="0" w:color="auto"/>
            <w:right w:val="none" w:sz="0" w:space="0" w:color="auto"/>
          </w:divBdr>
          <w:divsChild>
            <w:div w:id="1484547404">
              <w:marLeft w:val="0"/>
              <w:marRight w:val="0"/>
              <w:marTop w:val="0"/>
              <w:marBottom w:val="0"/>
              <w:divBdr>
                <w:top w:val="none" w:sz="0" w:space="0" w:color="auto"/>
                <w:left w:val="none" w:sz="0" w:space="0" w:color="auto"/>
                <w:bottom w:val="none" w:sz="0" w:space="0" w:color="auto"/>
                <w:right w:val="none" w:sz="0" w:space="0" w:color="auto"/>
              </w:divBdr>
              <w:divsChild>
                <w:div w:id="173958584">
                  <w:marLeft w:val="0"/>
                  <w:marRight w:val="0"/>
                  <w:marTop w:val="0"/>
                  <w:marBottom w:val="0"/>
                  <w:divBdr>
                    <w:top w:val="none" w:sz="0" w:space="0" w:color="auto"/>
                    <w:left w:val="none" w:sz="0" w:space="0" w:color="auto"/>
                    <w:bottom w:val="none" w:sz="0" w:space="0" w:color="auto"/>
                    <w:right w:val="none" w:sz="0" w:space="0" w:color="auto"/>
                  </w:divBdr>
                </w:div>
                <w:div w:id="1685546883">
                  <w:marLeft w:val="0"/>
                  <w:marRight w:val="0"/>
                  <w:marTop w:val="0"/>
                  <w:marBottom w:val="0"/>
                  <w:divBdr>
                    <w:top w:val="none" w:sz="0" w:space="0" w:color="auto"/>
                    <w:left w:val="none" w:sz="0" w:space="0" w:color="auto"/>
                    <w:bottom w:val="none" w:sz="0" w:space="0" w:color="auto"/>
                    <w:right w:val="none" w:sz="0" w:space="0" w:color="auto"/>
                  </w:divBdr>
                </w:div>
                <w:div w:id="59011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34022">
          <w:marLeft w:val="0"/>
          <w:marRight w:val="0"/>
          <w:marTop w:val="15"/>
          <w:marBottom w:val="0"/>
          <w:divBdr>
            <w:top w:val="none" w:sz="0" w:space="0" w:color="auto"/>
            <w:left w:val="none" w:sz="0" w:space="0" w:color="auto"/>
            <w:bottom w:val="none" w:sz="0" w:space="0" w:color="auto"/>
            <w:right w:val="none" w:sz="0" w:space="0" w:color="auto"/>
          </w:divBdr>
          <w:divsChild>
            <w:div w:id="619997472">
              <w:marLeft w:val="0"/>
              <w:marRight w:val="0"/>
              <w:marTop w:val="0"/>
              <w:marBottom w:val="0"/>
              <w:divBdr>
                <w:top w:val="none" w:sz="0" w:space="0" w:color="auto"/>
                <w:left w:val="none" w:sz="0" w:space="0" w:color="auto"/>
                <w:bottom w:val="none" w:sz="0" w:space="0" w:color="auto"/>
                <w:right w:val="none" w:sz="0" w:space="0" w:color="auto"/>
              </w:divBdr>
              <w:divsChild>
                <w:div w:id="50807209">
                  <w:marLeft w:val="0"/>
                  <w:marRight w:val="0"/>
                  <w:marTop w:val="0"/>
                  <w:marBottom w:val="0"/>
                  <w:divBdr>
                    <w:top w:val="none" w:sz="0" w:space="0" w:color="auto"/>
                    <w:left w:val="none" w:sz="0" w:space="0" w:color="auto"/>
                    <w:bottom w:val="none" w:sz="0" w:space="0" w:color="auto"/>
                    <w:right w:val="none" w:sz="0" w:space="0" w:color="auto"/>
                  </w:divBdr>
                </w:div>
                <w:div w:id="305666255">
                  <w:marLeft w:val="0"/>
                  <w:marRight w:val="0"/>
                  <w:marTop w:val="0"/>
                  <w:marBottom w:val="0"/>
                  <w:divBdr>
                    <w:top w:val="none" w:sz="0" w:space="0" w:color="auto"/>
                    <w:left w:val="none" w:sz="0" w:space="0" w:color="auto"/>
                    <w:bottom w:val="none" w:sz="0" w:space="0" w:color="auto"/>
                    <w:right w:val="none" w:sz="0" w:space="0" w:color="auto"/>
                  </w:divBdr>
                </w:div>
                <w:div w:id="1325082189">
                  <w:marLeft w:val="0"/>
                  <w:marRight w:val="0"/>
                  <w:marTop w:val="0"/>
                  <w:marBottom w:val="0"/>
                  <w:divBdr>
                    <w:top w:val="none" w:sz="0" w:space="0" w:color="auto"/>
                    <w:left w:val="none" w:sz="0" w:space="0" w:color="auto"/>
                    <w:bottom w:val="none" w:sz="0" w:space="0" w:color="auto"/>
                    <w:right w:val="none" w:sz="0" w:space="0" w:color="auto"/>
                  </w:divBdr>
                </w:div>
                <w:div w:id="181194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273280">
      <w:bodyDiv w:val="1"/>
      <w:marLeft w:val="0"/>
      <w:marRight w:val="0"/>
      <w:marTop w:val="0"/>
      <w:marBottom w:val="0"/>
      <w:divBdr>
        <w:top w:val="none" w:sz="0" w:space="0" w:color="auto"/>
        <w:left w:val="none" w:sz="0" w:space="0" w:color="auto"/>
        <w:bottom w:val="none" w:sz="0" w:space="0" w:color="auto"/>
        <w:right w:val="none" w:sz="0" w:space="0" w:color="auto"/>
      </w:divBdr>
      <w:divsChild>
        <w:div w:id="451825982">
          <w:marLeft w:val="0"/>
          <w:marRight w:val="0"/>
          <w:marTop w:val="15"/>
          <w:marBottom w:val="0"/>
          <w:divBdr>
            <w:top w:val="none" w:sz="0" w:space="0" w:color="auto"/>
            <w:left w:val="none" w:sz="0" w:space="0" w:color="auto"/>
            <w:bottom w:val="none" w:sz="0" w:space="0" w:color="auto"/>
            <w:right w:val="none" w:sz="0" w:space="0" w:color="auto"/>
          </w:divBdr>
          <w:divsChild>
            <w:div w:id="752092608">
              <w:marLeft w:val="0"/>
              <w:marRight w:val="0"/>
              <w:marTop w:val="0"/>
              <w:marBottom w:val="0"/>
              <w:divBdr>
                <w:top w:val="none" w:sz="0" w:space="0" w:color="auto"/>
                <w:left w:val="none" w:sz="0" w:space="0" w:color="auto"/>
                <w:bottom w:val="none" w:sz="0" w:space="0" w:color="auto"/>
                <w:right w:val="none" w:sz="0" w:space="0" w:color="auto"/>
              </w:divBdr>
              <w:divsChild>
                <w:div w:id="183102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401779">
          <w:marLeft w:val="0"/>
          <w:marRight w:val="0"/>
          <w:marTop w:val="15"/>
          <w:marBottom w:val="0"/>
          <w:divBdr>
            <w:top w:val="none" w:sz="0" w:space="0" w:color="auto"/>
            <w:left w:val="none" w:sz="0" w:space="0" w:color="auto"/>
            <w:bottom w:val="none" w:sz="0" w:space="0" w:color="auto"/>
            <w:right w:val="none" w:sz="0" w:space="0" w:color="auto"/>
          </w:divBdr>
          <w:divsChild>
            <w:div w:id="2054881987">
              <w:marLeft w:val="0"/>
              <w:marRight w:val="0"/>
              <w:marTop w:val="0"/>
              <w:marBottom w:val="0"/>
              <w:divBdr>
                <w:top w:val="none" w:sz="0" w:space="0" w:color="auto"/>
                <w:left w:val="none" w:sz="0" w:space="0" w:color="auto"/>
                <w:bottom w:val="none" w:sz="0" w:space="0" w:color="auto"/>
                <w:right w:val="none" w:sz="0" w:space="0" w:color="auto"/>
              </w:divBdr>
              <w:divsChild>
                <w:div w:id="1647709205">
                  <w:marLeft w:val="0"/>
                  <w:marRight w:val="0"/>
                  <w:marTop w:val="0"/>
                  <w:marBottom w:val="0"/>
                  <w:divBdr>
                    <w:top w:val="none" w:sz="0" w:space="0" w:color="auto"/>
                    <w:left w:val="none" w:sz="0" w:space="0" w:color="auto"/>
                    <w:bottom w:val="none" w:sz="0" w:space="0" w:color="auto"/>
                    <w:right w:val="none" w:sz="0" w:space="0" w:color="auto"/>
                  </w:divBdr>
                </w:div>
                <w:div w:id="224141836">
                  <w:marLeft w:val="0"/>
                  <w:marRight w:val="0"/>
                  <w:marTop w:val="0"/>
                  <w:marBottom w:val="0"/>
                  <w:divBdr>
                    <w:top w:val="none" w:sz="0" w:space="0" w:color="auto"/>
                    <w:left w:val="none" w:sz="0" w:space="0" w:color="auto"/>
                    <w:bottom w:val="none" w:sz="0" w:space="0" w:color="auto"/>
                    <w:right w:val="none" w:sz="0" w:space="0" w:color="auto"/>
                  </w:divBdr>
                </w:div>
                <w:div w:id="782532394">
                  <w:marLeft w:val="0"/>
                  <w:marRight w:val="0"/>
                  <w:marTop w:val="0"/>
                  <w:marBottom w:val="0"/>
                  <w:divBdr>
                    <w:top w:val="none" w:sz="0" w:space="0" w:color="auto"/>
                    <w:left w:val="none" w:sz="0" w:space="0" w:color="auto"/>
                    <w:bottom w:val="none" w:sz="0" w:space="0" w:color="auto"/>
                    <w:right w:val="none" w:sz="0" w:space="0" w:color="auto"/>
                  </w:divBdr>
                </w:div>
                <w:div w:id="366295593">
                  <w:marLeft w:val="0"/>
                  <w:marRight w:val="0"/>
                  <w:marTop w:val="0"/>
                  <w:marBottom w:val="0"/>
                  <w:divBdr>
                    <w:top w:val="none" w:sz="0" w:space="0" w:color="auto"/>
                    <w:left w:val="none" w:sz="0" w:space="0" w:color="auto"/>
                    <w:bottom w:val="none" w:sz="0" w:space="0" w:color="auto"/>
                    <w:right w:val="none" w:sz="0" w:space="0" w:color="auto"/>
                  </w:divBdr>
                </w:div>
                <w:div w:id="103982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079057">
      <w:bodyDiv w:val="1"/>
      <w:marLeft w:val="0"/>
      <w:marRight w:val="0"/>
      <w:marTop w:val="0"/>
      <w:marBottom w:val="0"/>
      <w:divBdr>
        <w:top w:val="none" w:sz="0" w:space="0" w:color="auto"/>
        <w:left w:val="none" w:sz="0" w:space="0" w:color="auto"/>
        <w:bottom w:val="none" w:sz="0" w:space="0" w:color="auto"/>
        <w:right w:val="none" w:sz="0" w:space="0" w:color="auto"/>
      </w:divBdr>
    </w:div>
    <w:div w:id="1574193916">
      <w:bodyDiv w:val="1"/>
      <w:marLeft w:val="0"/>
      <w:marRight w:val="0"/>
      <w:marTop w:val="0"/>
      <w:marBottom w:val="0"/>
      <w:divBdr>
        <w:top w:val="none" w:sz="0" w:space="0" w:color="auto"/>
        <w:left w:val="none" w:sz="0" w:space="0" w:color="auto"/>
        <w:bottom w:val="none" w:sz="0" w:space="0" w:color="auto"/>
        <w:right w:val="none" w:sz="0" w:space="0" w:color="auto"/>
      </w:divBdr>
    </w:div>
    <w:div w:id="1667778796">
      <w:bodyDiv w:val="1"/>
      <w:marLeft w:val="0"/>
      <w:marRight w:val="0"/>
      <w:marTop w:val="0"/>
      <w:marBottom w:val="0"/>
      <w:divBdr>
        <w:top w:val="none" w:sz="0" w:space="0" w:color="auto"/>
        <w:left w:val="none" w:sz="0" w:space="0" w:color="auto"/>
        <w:bottom w:val="none" w:sz="0" w:space="0" w:color="auto"/>
        <w:right w:val="none" w:sz="0" w:space="0" w:color="auto"/>
      </w:divBdr>
      <w:divsChild>
        <w:div w:id="2082292621">
          <w:marLeft w:val="0"/>
          <w:marRight w:val="0"/>
          <w:marTop w:val="0"/>
          <w:marBottom w:val="0"/>
          <w:divBdr>
            <w:top w:val="none" w:sz="0" w:space="0" w:color="auto"/>
            <w:left w:val="none" w:sz="0" w:space="0" w:color="auto"/>
            <w:bottom w:val="none" w:sz="0" w:space="0" w:color="auto"/>
            <w:right w:val="none" w:sz="0" w:space="0" w:color="auto"/>
          </w:divBdr>
        </w:div>
        <w:div w:id="335423965">
          <w:marLeft w:val="0"/>
          <w:marRight w:val="0"/>
          <w:marTop w:val="0"/>
          <w:marBottom w:val="0"/>
          <w:divBdr>
            <w:top w:val="none" w:sz="0" w:space="0" w:color="auto"/>
            <w:left w:val="none" w:sz="0" w:space="0" w:color="auto"/>
            <w:bottom w:val="none" w:sz="0" w:space="0" w:color="auto"/>
            <w:right w:val="none" w:sz="0" w:space="0" w:color="auto"/>
          </w:divBdr>
        </w:div>
        <w:div w:id="168300233">
          <w:marLeft w:val="0"/>
          <w:marRight w:val="0"/>
          <w:marTop w:val="0"/>
          <w:marBottom w:val="0"/>
          <w:divBdr>
            <w:top w:val="none" w:sz="0" w:space="0" w:color="auto"/>
            <w:left w:val="none" w:sz="0" w:space="0" w:color="auto"/>
            <w:bottom w:val="none" w:sz="0" w:space="0" w:color="auto"/>
            <w:right w:val="none" w:sz="0" w:space="0" w:color="auto"/>
          </w:divBdr>
        </w:div>
        <w:div w:id="828181057">
          <w:marLeft w:val="0"/>
          <w:marRight w:val="0"/>
          <w:marTop w:val="0"/>
          <w:marBottom w:val="0"/>
          <w:divBdr>
            <w:top w:val="none" w:sz="0" w:space="0" w:color="auto"/>
            <w:left w:val="none" w:sz="0" w:space="0" w:color="auto"/>
            <w:bottom w:val="none" w:sz="0" w:space="0" w:color="auto"/>
            <w:right w:val="none" w:sz="0" w:space="0" w:color="auto"/>
          </w:divBdr>
        </w:div>
      </w:divsChild>
    </w:div>
    <w:div w:id="1765415218">
      <w:bodyDiv w:val="1"/>
      <w:marLeft w:val="0"/>
      <w:marRight w:val="0"/>
      <w:marTop w:val="0"/>
      <w:marBottom w:val="0"/>
      <w:divBdr>
        <w:top w:val="none" w:sz="0" w:space="0" w:color="auto"/>
        <w:left w:val="none" w:sz="0" w:space="0" w:color="auto"/>
        <w:bottom w:val="none" w:sz="0" w:space="0" w:color="auto"/>
        <w:right w:val="none" w:sz="0" w:space="0" w:color="auto"/>
      </w:divBdr>
    </w:div>
    <w:div w:id="1777600516">
      <w:bodyDiv w:val="1"/>
      <w:marLeft w:val="0"/>
      <w:marRight w:val="0"/>
      <w:marTop w:val="0"/>
      <w:marBottom w:val="0"/>
      <w:divBdr>
        <w:top w:val="none" w:sz="0" w:space="0" w:color="auto"/>
        <w:left w:val="none" w:sz="0" w:space="0" w:color="auto"/>
        <w:bottom w:val="none" w:sz="0" w:space="0" w:color="auto"/>
        <w:right w:val="none" w:sz="0" w:space="0" w:color="auto"/>
      </w:divBdr>
      <w:divsChild>
        <w:div w:id="1667514862">
          <w:marLeft w:val="0"/>
          <w:marRight w:val="0"/>
          <w:marTop w:val="0"/>
          <w:marBottom w:val="0"/>
          <w:divBdr>
            <w:top w:val="none" w:sz="0" w:space="0" w:color="auto"/>
            <w:left w:val="none" w:sz="0" w:space="0" w:color="auto"/>
            <w:bottom w:val="none" w:sz="0" w:space="0" w:color="auto"/>
            <w:right w:val="none" w:sz="0" w:space="0" w:color="auto"/>
          </w:divBdr>
        </w:div>
        <w:div w:id="1842160134">
          <w:marLeft w:val="0"/>
          <w:marRight w:val="0"/>
          <w:marTop w:val="0"/>
          <w:marBottom w:val="0"/>
          <w:divBdr>
            <w:top w:val="none" w:sz="0" w:space="0" w:color="auto"/>
            <w:left w:val="none" w:sz="0" w:space="0" w:color="auto"/>
            <w:bottom w:val="none" w:sz="0" w:space="0" w:color="auto"/>
            <w:right w:val="none" w:sz="0" w:space="0" w:color="auto"/>
          </w:divBdr>
        </w:div>
        <w:div w:id="1501196385">
          <w:marLeft w:val="0"/>
          <w:marRight w:val="0"/>
          <w:marTop w:val="0"/>
          <w:marBottom w:val="0"/>
          <w:divBdr>
            <w:top w:val="none" w:sz="0" w:space="0" w:color="auto"/>
            <w:left w:val="none" w:sz="0" w:space="0" w:color="auto"/>
            <w:bottom w:val="none" w:sz="0" w:space="0" w:color="auto"/>
            <w:right w:val="none" w:sz="0" w:space="0" w:color="auto"/>
          </w:divBdr>
        </w:div>
      </w:divsChild>
    </w:div>
    <w:div w:id="2074808687">
      <w:bodyDiv w:val="1"/>
      <w:marLeft w:val="0"/>
      <w:marRight w:val="0"/>
      <w:marTop w:val="0"/>
      <w:marBottom w:val="0"/>
      <w:divBdr>
        <w:top w:val="none" w:sz="0" w:space="0" w:color="auto"/>
        <w:left w:val="none" w:sz="0" w:space="0" w:color="auto"/>
        <w:bottom w:val="none" w:sz="0" w:space="0" w:color="auto"/>
        <w:right w:val="none" w:sz="0" w:space="0" w:color="auto"/>
      </w:divBdr>
      <w:divsChild>
        <w:div w:id="1239972725">
          <w:marLeft w:val="0"/>
          <w:marRight w:val="0"/>
          <w:marTop w:val="0"/>
          <w:marBottom w:val="0"/>
          <w:divBdr>
            <w:top w:val="none" w:sz="0" w:space="0" w:color="auto"/>
            <w:left w:val="none" w:sz="0" w:space="0" w:color="auto"/>
            <w:bottom w:val="none" w:sz="0" w:space="0" w:color="auto"/>
            <w:right w:val="none" w:sz="0" w:space="0" w:color="auto"/>
          </w:divBdr>
        </w:div>
        <w:div w:id="18763847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Các10</b:Tag>
    <b:SourceType>DocumentFromInternetSite</b:SourceType>
    <b:Guid>{8F394021-894F-4CE3-8AC8-59F9971F1CD7}</b:Guid>
    <b:Title>GESTIÓN CULTURAL E INGENIERÍA EN COMUNICACIÓN SOCIAL¿Qué es gestión cultural y cómo puede incidir la participación ciudadana en la cultura?</b:Title>
    <b:Year>2010</b:Year>
    <b:Author>
      <b:Author>
        <b:NameList>
          <b:Person>
            <b:Last>Cáceres</b:Last>
            <b:First>Jesús</b:First>
            <b:Middle>Galindo</b:Middle>
          </b:Person>
        </b:NameList>
      </b:Author>
    </b:Author>
    <b:City>Puebla</b:City>
    <b:YearAccessed>2019</b:YearAccessed>
    <b:MonthAccessed>Octubre</b:MonthAccessed>
    <b:DayAccessed>05</b:DayAccessed>
    <b:URL>https://perio.unlp.edu.ar/ojs/index.php/question/article/view/963/886?fbclid=IwAR08DYwH6bJjeUL3Bv3YdbVNjx2jQYKzkQwnjzTfbFoUHs9vJueL1u_N-b8</b:URL>
    <b:RefOrder>1</b:RefOrder>
  </b:Source>
  <b:Source>
    <b:Tag>Edg11</b:Tag>
    <b:SourceType>DocumentFromInternetSite</b:SourceType>
    <b:Guid>{D1BFACFC-CC2C-4A36-9812-58FCC259FBFC}</b:Guid>
    <b:Author>
      <b:Author>
        <b:NameList>
          <b:Person>
            <b:Last>Castellanos</b:Last>
            <b:First>Edgar</b:First>
            <b:Middle>Jair Sandoval</b:Middle>
          </b:Person>
        </b:NameList>
      </b:Author>
    </b:Author>
    <b:Title>Revista seguridad UNAM</b:Title>
    <b:InternetSiteTitle>Universidad Nacional Autonoma de México </b:InternetSiteTitle>
    <b:Year>2011</b:Year>
    <b:Month>Mayo</b:Month>
    <b:Day>04</b:Day>
    <b:YearAccessed>2019</b:YearAccessed>
    <b:MonthAccessed>octubre</b:MonthAccessed>
    <b:DayAccessed>05</b:DayAccessed>
    <b:URL>https://revista.seguridad.unam.mx/numero-10/ingenier%C3%AD-social-corrompiendo-la-mente-humana</b:URL>
    <b:RefOrder>2</b:RefOrder>
  </b:Source>
  <b:Source>
    <b:Tag>Eul16</b:Tag>
    <b:SourceType>DocumentFromInternetSite</b:SourceType>
    <b:Guid>{ECC8E4B1-1FCD-4374-92AB-D8CD1925324C}</b:Guid>
    <b:Author>
      <b:Author>
        <b:Corporate>Eulalio Ferrer Centro Avanzada de Comunicación</b:Corporate>
      </b:Author>
    </b:Author>
    <b:Year>2016</b:Year>
    <b:Month>Abril</b:Month>
    <b:Day>16</b:Day>
    <b:YearAccessed>2019</b:YearAccessed>
    <b:MonthAccessed>Octubre</b:MonthAccessed>
    <b:DayAccessed>05</b:DayAccessed>
    <b:URL>http://www.cadec.mx/index.php/component/spsimpleportfolio/item/2-jesus-galindo?fbclid=IwAR17hyVguRyzFNi213Mmctfq78xxsYAO00xvOYPtF6PhV2pTLLI-yEHlHi0</b:URL>
    <b:RefOrder>3</b:RefOrder>
  </b:Source>
  <b:Source>
    <b:Tag>Osc19</b:Tag>
    <b:SourceType>DocumentFromInternetSite</b:SourceType>
    <b:Guid>{F74D24F3-3ED7-451C-9289-85C9ADD05962}</b:Guid>
    <b:Author>
      <b:Author>
        <b:NameList>
          <b:Person>
            <b:Last>Mimenza</b:Last>
            <b:First>Oscar</b:First>
            <b:Middle>Castiller</b:Middle>
          </b:Person>
        </b:NameList>
      </b:Author>
    </b:Author>
    <b:Title>Psicología y mente </b:Title>
    <b:YearAccessed>2019</b:YearAccessed>
    <b:MonthAccessed>Octubre</b:MonthAccessed>
    <b:DayAccessed>05</b:DayAccessed>
    <b:URL>https://psicologiaymente.com/miscelanea/principio-incertidumbre-heisenberg</b:URL>
    <b:RefOrder>4</b:RefOrder>
  </b:Source>
  <b:Source>
    <b:Tag>Bár17</b:Tag>
    <b:SourceType>DocumentFromInternetSite</b:SourceType>
    <b:Guid>{D8C05C7D-88AD-4B53-80AD-64BE4004C760}</b:Guid>
    <b:Author>
      <b:Author>
        <b:NameList>
          <b:Person>
            <b:Last>Lizcano</b:Last>
            <b:First>Bárbara</b:First>
            <b:Middle>Cueva</b:Middle>
          </b:Person>
        </b:NameList>
      </b:Author>
    </b:Author>
    <b:Title>Academiaplay</b:Title>
    <b:Year>2017</b:Year>
    <b:Month>junio</b:Month>
    <b:Day>28</b:Day>
    <b:YearAccessed>2019</b:YearAccessed>
    <b:MonthAccessed>octubre</b:MonthAccessed>
    <b:DayAccessed>05</b:DayAccessed>
    <b:URL>https://academiaplay.es/principio-incertidumbre/</b:URL>
    <b:RefOrder>5</b:RefOrder>
  </b:Source>
  <b:Source>
    <b:Tag>Áng10</b:Tag>
    <b:SourceType>DocumentFromInternetSite</b:SourceType>
    <b:Guid>{85A0DFA1-F7C8-49EB-AAB4-042B75DD6656}</b:Guid>
    <b:Author>
      <b:Author>
        <b:NameList>
          <b:Person>
            <b:Last>Méndez</b:Last>
            <b:First>Ángeles</b:First>
          </b:Person>
        </b:NameList>
      </b:Author>
    </b:Author>
    <b:Title>La guía</b:Title>
    <b:Year>2010</b:Year>
    <b:Month>Abril</b:Month>
    <b:Day>16</b:Day>
    <b:YearAccessed>2019</b:YearAccessed>
    <b:MonthAccessed>Octubre</b:MonthAccessed>
    <b:DayAccessed>05</b:DayAccessed>
    <b:URL>https://quimica.laguia2000.com/general/principio-de-incertidumbre-de-heisenberg</b:URL>
    <b:RefOrder>6</b:RefOrder>
  </b:Source>
</b:Sources>
</file>

<file path=customXml/itemProps1.xml><?xml version="1.0" encoding="utf-8"?>
<ds:datastoreItem xmlns:ds="http://schemas.openxmlformats.org/officeDocument/2006/customXml" ds:itemID="{F62BD897-3726-4468-8F5D-B74713B2E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5</Pages>
  <Words>1505</Words>
  <Characters>8279</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dc:creator>
  <cp:lastModifiedBy>OMAR</cp:lastModifiedBy>
  <cp:revision>1</cp:revision>
  <dcterms:created xsi:type="dcterms:W3CDTF">2019-10-05T21:32:00Z</dcterms:created>
  <dcterms:modified xsi:type="dcterms:W3CDTF">2019-10-05T23:46:00Z</dcterms:modified>
</cp:coreProperties>
</file>