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028E7" w:rsidRPr="00BE3360" w:rsidRDefault="004028E7" w:rsidP="00F95417">
      <w:pPr>
        <w:tabs>
          <w:tab w:val="left" w:pos="2835"/>
        </w:tabs>
        <w:spacing w:line="360" w:lineRule="auto"/>
        <w:jc w:val="center"/>
        <w:rPr>
          <w:rFonts w:ascii="Times New Roman" w:hAnsi="Times New Roman" w:cs="Times New Roman"/>
          <w:b/>
          <w:sz w:val="24"/>
          <w:szCs w:val="24"/>
          <w:lang w:val="es-EC"/>
        </w:rPr>
      </w:pPr>
      <w:r w:rsidRPr="00BE3360">
        <w:rPr>
          <w:rFonts w:ascii="Times New Roman" w:hAnsi="Times New Roman" w:cs="Times New Roman"/>
          <w:b/>
          <w:noProof/>
          <w:sz w:val="24"/>
          <w:szCs w:val="24"/>
          <w:lang w:val="es-EC" w:eastAsia="es-EC"/>
        </w:rPr>
        <w:drawing>
          <wp:anchor distT="0" distB="0" distL="114300" distR="114300" simplePos="0" relativeHeight="251660288" behindDoc="0" locked="0" layoutInCell="1" allowOverlap="1" wp14:anchorId="31B2D637" wp14:editId="34D0B7A0">
            <wp:simplePos x="0" y="0"/>
            <wp:positionH relativeFrom="margin">
              <wp:posOffset>-381000</wp:posOffset>
            </wp:positionH>
            <wp:positionV relativeFrom="paragraph">
              <wp:posOffset>-220345</wp:posOffset>
            </wp:positionV>
            <wp:extent cx="899795" cy="899795"/>
            <wp:effectExtent l="0" t="0" r="0" b="0"/>
            <wp:wrapNone/>
            <wp:docPr id="1" name="Imagen 1" descr="807c6b41-b784-44c4-92a1-e31cc30597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807c6b41-b784-44c4-92a1-e31cc30597f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99795" cy="899795"/>
                    </a:xfrm>
                    <a:prstGeom prst="rect">
                      <a:avLst/>
                    </a:prstGeom>
                    <a:noFill/>
                  </pic:spPr>
                </pic:pic>
              </a:graphicData>
            </a:graphic>
            <wp14:sizeRelH relativeFrom="page">
              <wp14:pctWidth>0</wp14:pctWidth>
            </wp14:sizeRelH>
            <wp14:sizeRelV relativeFrom="page">
              <wp14:pctHeight>0</wp14:pctHeight>
            </wp14:sizeRelV>
          </wp:anchor>
        </w:drawing>
      </w:r>
      <w:r w:rsidRPr="00BE3360">
        <w:rPr>
          <w:rFonts w:ascii="Times New Roman" w:hAnsi="Times New Roman" w:cs="Times New Roman"/>
          <w:b/>
          <w:noProof/>
          <w:sz w:val="24"/>
          <w:szCs w:val="24"/>
          <w:lang w:val="es-EC" w:eastAsia="es-EC"/>
        </w:rPr>
        <w:drawing>
          <wp:anchor distT="0" distB="0" distL="114300" distR="114300" simplePos="0" relativeHeight="251659264" behindDoc="0" locked="0" layoutInCell="1" allowOverlap="1" wp14:anchorId="46213F14" wp14:editId="047DC6D3">
            <wp:simplePos x="0" y="0"/>
            <wp:positionH relativeFrom="margin">
              <wp:posOffset>4467225</wp:posOffset>
            </wp:positionH>
            <wp:positionV relativeFrom="paragraph">
              <wp:posOffset>-52705</wp:posOffset>
            </wp:positionV>
            <wp:extent cx="1280160" cy="611505"/>
            <wp:effectExtent l="0" t="0" r="0" b="0"/>
            <wp:wrapNone/>
            <wp:docPr id="2" name="Imagen 2" descr="10313717_823352594355501_5983215028696591803_n - cop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10313717_823352594355501_5983215028696591803_n - copia"/>
                    <pic:cNvPicPr>
                      <a:picLocks noChangeAspect="1" noChangeArrowheads="1"/>
                    </pic:cNvPicPr>
                  </pic:nvPicPr>
                  <pic:blipFill>
                    <a:blip r:embed="rId6">
                      <a:extLst>
                        <a:ext uri="{28A0092B-C50C-407E-A947-70E740481C1C}">
                          <a14:useLocalDpi xmlns:a14="http://schemas.microsoft.com/office/drawing/2010/main" val="0"/>
                        </a:ext>
                      </a:extLst>
                    </a:blip>
                    <a:srcRect l="12459" t="22052" r="14565" b="28595"/>
                    <a:stretch>
                      <a:fillRect/>
                    </a:stretch>
                  </pic:blipFill>
                  <pic:spPr bwMode="auto">
                    <a:xfrm>
                      <a:off x="0" y="0"/>
                      <a:ext cx="1280160" cy="611505"/>
                    </a:xfrm>
                    <a:prstGeom prst="rect">
                      <a:avLst/>
                    </a:prstGeom>
                    <a:noFill/>
                  </pic:spPr>
                </pic:pic>
              </a:graphicData>
            </a:graphic>
            <wp14:sizeRelH relativeFrom="page">
              <wp14:pctWidth>0</wp14:pctWidth>
            </wp14:sizeRelH>
            <wp14:sizeRelV relativeFrom="page">
              <wp14:pctHeight>0</wp14:pctHeight>
            </wp14:sizeRelV>
          </wp:anchor>
        </w:drawing>
      </w:r>
      <w:r w:rsidRPr="00BE3360">
        <w:rPr>
          <w:rFonts w:ascii="Times New Roman" w:hAnsi="Times New Roman" w:cs="Times New Roman"/>
          <w:b/>
          <w:sz w:val="24"/>
          <w:szCs w:val="24"/>
        </w:rPr>
        <w:t>Universidad Central del Ecuador</w:t>
      </w:r>
    </w:p>
    <w:p w:rsidR="004028E7" w:rsidRPr="00BE3360" w:rsidRDefault="004028E7" w:rsidP="00F95417">
      <w:pPr>
        <w:tabs>
          <w:tab w:val="left" w:pos="2835"/>
        </w:tabs>
        <w:spacing w:line="360" w:lineRule="auto"/>
        <w:jc w:val="center"/>
        <w:rPr>
          <w:rFonts w:ascii="Times New Roman" w:hAnsi="Times New Roman" w:cs="Times New Roman"/>
          <w:b/>
          <w:sz w:val="24"/>
          <w:szCs w:val="24"/>
        </w:rPr>
      </w:pPr>
      <w:r w:rsidRPr="00BE3360">
        <w:rPr>
          <w:rFonts w:ascii="Times New Roman" w:hAnsi="Times New Roman" w:cs="Times New Roman"/>
          <w:b/>
          <w:sz w:val="24"/>
          <w:szCs w:val="24"/>
        </w:rPr>
        <w:t xml:space="preserve">Facultad de Comunicación Social </w:t>
      </w:r>
      <w:proofErr w:type="spellStart"/>
      <w:r w:rsidRPr="00BE3360">
        <w:rPr>
          <w:rFonts w:ascii="Times New Roman" w:hAnsi="Times New Roman" w:cs="Times New Roman"/>
          <w:b/>
          <w:sz w:val="24"/>
          <w:szCs w:val="24"/>
        </w:rPr>
        <w:t>Facso</w:t>
      </w:r>
      <w:proofErr w:type="spellEnd"/>
    </w:p>
    <w:p w:rsidR="004028E7" w:rsidRPr="00BE3360" w:rsidRDefault="004028E7" w:rsidP="00F95417">
      <w:pPr>
        <w:tabs>
          <w:tab w:val="left" w:pos="2835"/>
        </w:tabs>
        <w:spacing w:line="360" w:lineRule="auto"/>
        <w:jc w:val="center"/>
        <w:rPr>
          <w:rFonts w:ascii="Times New Roman" w:hAnsi="Times New Roman" w:cs="Times New Roman"/>
          <w:b/>
          <w:sz w:val="24"/>
          <w:szCs w:val="24"/>
        </w:rPr>
      </w:pPr>
      <w:r w:rsidRPr="00BE3360">
        <w:rPr>
          <w:rFonts w:ascii="Times New Roman" w:hAnsi="Times New Roman" w:cs="Times New Roman"/>
          <w:b/>
          <w:sz w:val="24"/>
          <w:szCs w:val="24"/>
        </w:rPr>
        <w:t>Carrera de Comunicación Social</w:t>
      </w:r>
    </w:p>
    <w:p w:rsidR="004028E7" w:rsidRPr="00BE3360" w:rsidRDefault="004028E7" w:rsidP="00F95417">
      <w:pPr>
        <w:tabs>
          <w:tab w:val="left" w:pos="2835"/>
        </w:tabs>
        <w:spacing w:line="360" w:lineRule="auto"/>
        <w:rPr>
          <w:rFonts w:ascii="Times New Roman" w:hAnsi="Times New Roman" w:cs="Times New Roman"/>
          <w:sz w:val="24"/>
          <w:szCs w:val="24"/>
        </w:rPr>
      </w:pPr>
      <w:r w:rsidRPr="00BE3360">
        <w:rPr>
          <w:rFonts w:ascii="Times New Roman" w:hAnsi="Times New Roman" w:cs="Times New Roman"/>
          <w:b/>
          <w:sz w:val="24"/>
          <w:szCs w:val="24"/>
        </w:rPr>
        <w:t>Estudiante:</w:t>
      </w:r>
      <w:r w:rsidRPr="00BE3360">
        <w:rPr>
          <w:rFonts w:ascii="Times New Roman" w:hAnsi="Times New Roman" w:cs="Times New Roman"/>
          <w:sz w:val="24"/>
          <w:szCs w:val="24"/>
        </w:rPr>
        <w:t xml:space="preserve"> Cristhian Galarza</w:t>
      </w:r>
      <w:r>
        <w:rPr>
          <w:rFonts w:ascii="Times New Roman" w:hAnsi="Times New Roman" w:cs="Times New Roman"/>
          <w:sz w:val="24"/>
          <w:szCs w:val="24"/>
        </w:rPr>
        <w:t>.</w:t>
      </w:r>
      <w:r w:rsidRPr="00BE3360">
        <w:rPr>
          <w:rFonts w:ascii="Times New Roman" w:hAnsi="Times New Roman" w:cs="Times New Roman"/>
          <w:sz w:val="24"/>
          <w:szCs w:val="24"/>
        </w:rPr>
        <w:t xml:space="preserve">   </w:t>
      </w:r>
    </w:p>
    <w:p w:rsidR="004028E7" w:rsidRPr="00BE3360" w:rsidRDefault="004028E7" w:rsidP="00F95417">
      <w:pPr>
        <w:tabs>
          <w:tab w:val="left" w:pos="2835"/>
        </w:tabs>
        <w:spacing w:line="360" w:lineRule="auto"/>
        <w:rPr>
          <w:rFonts w:ascii="Times New Roman" w:hAnsi="Times New Roman" w:cs="Times New Roman"/>
          <w:sz w:val="24"/>
          <w:szCs w:val="24"/>
        </w:rPr>
      </w:pPr>
      <w:r w:rsidRPr="00BE3360">
        <w:rPr>
          <w:rFonts w:ascii="Times New Roman" w:hAnsi="Times New Roman" w:cs="Times New Roman"/>
          <w:b/>
          <w:sz w:val="24"/>
          <w:szCs w:val="24"/>
        </w:rPr>
        <w:t>Paralelo:</w:t>
      </w:r>
      <w:r w:rsidRPr="00BE3360">
        <w:rPr>
          <w:rFonts w:ascii="Times New Roman" w:hAnsi="Times New Roman" w:cs="Times New Roman"/>
          <w:sz w:val="24"/>
          <w:szCs w:val="24"/>
        </w:rPr>
        <w:t xml:space="preserve"> </w:t>
      </w:r>
      <w:r>
        <w:rPr>
          <w:rFonts w:ascii="Times New Roman" w:hAnsi="Times New Roman" w:cs="Times New Roman"/>
          <w:sz w:val="24"/>
          <w:szCs w:val="24"/>
        </w:rPr>
        <w:t>Sexto</w:t>
      </w:r>
      <w:r w:rsidRPr="00BE3360">
        <w:rPr>
          <w:rFonts w:ascii="Times New Roman" w:hAnsi="Times New Roman" w:cs="Times New Roman"/>
          <w:sz w:val="24"/>
          <w:szCs w:val="24"/>
        </w:rPr>
        <w:t xml:space="preserve"> “</w:t>
      </w:r>
      <w:proofErr w:type="gramStart"/>
      <w:r>
        <w:rPr>
          <w:rFonts w:ascii="Times New Roman" w:hAnsi="Times New Roman" w:cs="Times New Roman"/>
          <w:sz w:val="24"/>
          <w:szCs w:val="24"/>
        </w:rPr>
        <w:t>A</w:t>
      </w:r>
      <w:r w:rsidRPr="00BE3360">
        <w:rPr>
          <w:rFonts w:ascii="Times New Roman" w:hAnsi="Times New Roman" w:cs="Times New Roman"/>
          <w:sz w:val="24"/>
          <w:szCs w:val="24"/>
        </w:rPr>
        <w:t xml:space="preserve">”   </w:t>
      </w:r>
      <w:proofErr w:type="gramEnd"/>
      <w:r w:rsidRPr="00BE3360">
        <w:rPr>
          <w:rFonts w:ascii="Times New Roman" w:hAnsi="Times New Roman" w:cs="Times New Roman"/>
          <w:sz w:val="24"/>
          <w:szCs w:val="24"/>
        </w:rPr>
        <w:t xml:space="preserve">                            </w:t>
      </w:r>
      <w:r w:rsidRPr="00BE3360">
        <w:rPr>
          <w:rFonts w:ascii="Times New Roman" w:hAnsi="Times New Roman" w:cs="Times New Roman"/>
          <w:b/>
          <w:sz w:val="24"/>
          <w:szCs w:val="24"/>
        </w:rPr>
        <w:t>Fecha</w:t>
      </w:r>
      <w:r>
        <w:rPr>
          <w:rFonts w:ascii="Times New Roman" w:hAnsi="Times New Roman" w:cs="Times New Roman"/>
          <w:b/>
          <w:sz w:val="24"/>
          <w:szCs w:val="24"/>
        </w:rPr>
        <w:t xml:space="preserve"> de entrega</w:t>
      </w:r>
      <w:r w:rsidRPr="00BE3360">
        <w:rPr>
          <w:rFonts w:ascii="Times New Roman" w:hAnsi="Times New Roman" w:cs="Times New Roman"/>
          <w:b/>
          <w:sz w:val="24"/>
          <w:szCs w:val="24"/>
        </w:rPr>
        <w:t>:</w:t>
      </w:r>
      <w:r w:rsidRPr="00BE3360">
        <w:rPr>
          <w:rFonts w:ascii="Times New Roman" w:hAnsi="Times New Roman" w:cs="Times New Roman"/>
          <w:sz w:val="24"/>
          <w:szCs w:val="24"/>
        </w:rPr>
        <w:t xml:space="preserve"> </w:t>
      </w:r>
      <w:r w:rsidR="00B03C80">
        <w:rPr>
          <w:rFonts w:ascii="Times New Roman" w:hAnsi="Times New Roman" w:cs="Times New Roman"/>
          <w:sz w:val="24"/>
          <w:szCs w:val="24"/>
        </w:rPr>
        <w:t>05</w:t>
      </w:r>
      <w:r w:rsidRPr="00BE3360">
        <w:rPr>
          <w:rFonts w:ascii="Times New Roman" w:hAnsi="Times New Roman" w:cs="Times New Roman"/>
          <w:sz w:val="24"/>
          <w:szCs w:val="24"/>
        </w:rPr>
        <w:t>/</w:t>
      </w:r>
      <w:r w:rsidR="00B03C80">
        <w:rPr>
          <w:rFonts w:ascii="Times New Roman" w:hAnsi="Times New Roman" w:cs="Times New Roman"/>
          <w:sz w:val="24"/>
          <w:szCs w:val="24"/>
        </w:rPr>
        <w:t>10</w:t>
      </w:r>
      <w:r w:rsidRPr="00BE3360">
        <w:rPr>
          <w:rFonts w:ascii="Times New Roman" w:hAnsi="Times New Roman" w:cs="Times New Roman"/>
          <w:sz w:val="24"/>
          <w:szCs w:val="24"/>
        </w:rPr>
        <w:t>/2019</w:t>
      </w:r>
    </w:p>
    <w:p w:rsidR="00782E61" w:rsidRDefault="004028E7" w:rsidP="00F95417">
      <w:pPr>
        <w:pStyle w:val="NormalWeb"/>
        <w:shd w:val="clear" w:color="auto" w:fill="FFFFFF"/>
        <w:spacing w:before="0" w:beforeAutospacing="0" w:after="160" w:afterAutospacing="0" w:line="360" w:lineRule="auto"/>
        <w:rPr>
          <w:rFonts w:eastAsiaTheme="minorHAnsi"/>
          <w:lang w:val="es-419" w:eastAsia="en-US"/>
        </w:rPr>
      </w:pPr>
      <w:proofErr w:type="spellStart"/>
      <w:r w:rsidRPr="009C2A0C">
        <w:rPr>
          <w:rFonts w:eastAsiaTheme="minorHAnsi"/>
          <w:b/>
          <w:bCs/>
          <w:lang w:val="es-419" w:eastAsia="en-US"/>
        </w:rPr>
        <w:t>Act</w:t>
      </w:r>
      <w:proofErr w:type="spellEnd"/>
      <w:r w:rsidRPr="009C2A0C">
        <w:rPr>
          <w:rFonts w:eastAsiaTheme="minorHAnsi"/>
          <w:b/>
          <w:bCs/>
          <w:lang w:val="es-419" w:eastAsia="en-US"/>
        </w:rPr>
        <w:t xml:space="preserve">. </w:t>
      </w:r>
      <w:r w:rsidR="00782E61">
        <w:rPr>
          <w:rFonts w:eastAsiaTheme="minorHAnsi"/>
          <w:b/>
          <w:bCs/>
          <w:lang w:val="es-419" w:eastAsia="en-US"/>
        </w:rPr>
        <w:t>2</w:t>
      </w:r>
      <w:r w:rsidRPr="009C2A0C">
        <w:rPr>
          <w:rFonts w:eastAsiaTheme="minorHAnsi"/>
          <w:b/>
          <w:bCs/>
          <w:lang w:val="es-419" w:eastAsia="en-US"/>
        </w:rPr>
        <w:t>. (Individual).</w:t>
      </w:r>
    </w:p>
    <w:p w:rsidR="00782E61" w:rsidRDefault="00782E61" w:rsidP="00F95417">
      <w:pPr>
        <w:pStyle w:val="NormalWeb"/>
        <w:numPr>
          <w:ilvl w:val="0"/>
          <w:numId w:val="1"/>
        </w:numPr>
        <w:shd w:val="clear" w:color="auto" w:fill="FFFFFF"/>
        <w:spacing w:before="0" w:beforeAutospacing="0" w:after="160" w:afterAutospacing="0" w:line="360" w:lineRule="auto"/>
        <w:jc w:val="both"/>
        <w:rPr>
          <w:rFonts w:eastAsiaTheme="minorHAnsi"/>
          <w:b/>
          <w:lang w:val="es-419" w:eastAsia="en-US"/>
        </w:rPr>
      </w:pPr>
      <w:r w:rsidRPr="00782E61">
        <w:rPr>
          <w:rFonts w:eastAsiaTheme="minorHAnsi"/>
          <w:b/>
          <w:lang w:val="es-419" w:eastAsia="en-US"/>
        </w:rPr>
        <w:t>¿Qué es ingeniería en comunicación social?</w:t>
      </w:r>
    </w:p>
    <w:p w:rsidR="00782E61" w:rsidRPr="00C873E8" w:rsidRDefault="00C873E8" w:rsidP="00F95417">
      <w:pPr>
        <w:pStyle w:val="NormalWeb"/>
        <w:shd w:val="clear" w:color="auto" w:fill="FFFFFF"/>
        <w:spacing w:before="0" w:beforeAutospacing="0" w:after="160" w:afterAutospacing="0" w:line="360" w:lineRule="auto"/>
        <w:jc w:val="both"/>
        <w:rPr>
          <w:rFonts w:eastAsiaTheme="minorHAnsi"/>
          <w:lang w:val="es-419" w:eastAsia="en-US"/>
        </w:rPr>
      </w:pPr>
      <w:r w:rsidRPr="00C873E8">
        <w:rPr>
          <w:rFonts w:eastAsiaTheme="minorHAnsi"/>
          <w:lang w:val="es-419" w:eastAsia="en-US"/>
        </w:rPr>
        <w:t>La Ingeniería en Comunicación Social es un proyecto en emergencia. La intención general en principio consiste en operar sobre espacio-tiempo sociales en las figuras generales de la intervención y el acompañamiento activo, con todos los ajustes que sean necesarios y pertinentes para hacerlo. Si hay algún problema en el orden de lo que entendemos como social la Ingeniería Social debe ser capaz de proponer alguna solución, y no sólo una, sino un paquete de posibilidades dentro de un gradiente del diseño general de soluciones posibles, con un diverso y variado paquete de aplicaciones técnicas para los diversos escenarios de futuros pertinentes y/o deseables. Problemas y soluciones, exploración problemática y diseño de soluciones. En el caso particular de la Ingeniería en Comunicación Social con la perspectiva del sentido de la comunicación como guía, es decir, la Comunicología.</w:t>
      </w:r>
      <w:r w:rsidR="009156D5">
        <w:rPr>
          <w:rFonts w:eastAsiaTheme="minorHAnsi"/>
          <w:lang w:val="es-419" w:eastAsia="en-US"/>
        </w:rPr>
        <w:t xml:space="preserve"> </w:t>
      </w:r>
    </w:p>
    <w:p w:rsidR="00E842E5" w:rsidRDefault="00782E61" w:rsidP="00F95417">
      <w:pPr>
        <w:pStyle w:val="NormalWeb"/>
        <w:numPr>
          <w:ilvl w:val="0"/>
          <w:numId w:val="1"/>
        </w:numPr>
        <w:shd w:val="clear" w:color="auto" w:fill="FFFFFF"/>
        <w:spacing w:before="0" w:beforeAutospacing="0" w:after="160" w:afterAutospacing="0" w:line="360" w:lineRule="auto"/>
        <w:jc w:val="both"/>
        <w:rPr>
          <w:rFonts w:eastAsiaTheme="minorHAnsi"/>
          <w:b/>
          <w:lang w:val="es-419" w:eastAsia="en-US"/>
        </w:rPr>
      </w:pPr>
      <w:r w:rsidRPr="00782E61">
        <w:rPr>
          <w:rFonts w:eastAsiaTheme="minorHAnsi"/>
          <w:b/>
          <w:lang w:val="es-419" w:eastAsia="en-US"/>
        </w:rPr>
        <w:t>¿Quién es Jesús Galindo Cáceres?</w:t>
      </w:r>
    </w:p>
    <w:p w:rsidR="00A356F4" w:rsidRDefault="00E842E5" w:rsidP="00F95417">
      <w:pPr>
        <w:pStyle w:val="NormalWeb"/>
        <w:shd w:val="clear" w:color="auto" w:fill="FFFFFF"/>
        <w:spacing w:before="0" w:beforeAutospacing="0" w:after="160" w:afterAutospacing="0" w:line="360" w:lineRule="auto"/>
        <w:jc w:val="both"/>
        <w:rPr>
          <w:rFonts w:eastAsiaTheme="minorHAnsi"/>
          <w:lang w:val="es-419" w:eastAsia="en-US"/>
        </w:rPr>
      </w:pPr>
      <w:r w:rsidRPr="00E842E5">
        <w:rPr>
          <w:rFonts w:eastAsiaTheme="minorHAnsi"/>
          <w:lang w:val="es-419" w:eastAsia="en-US"/>
        </w:rPr>
        <w:t>Mexicano. Doctor en Ciencias Sociales (1985), maestro en Lingüística (1983) y licenciado en comunicación (1978). Autor de 35 libros y más de trescientos cincuenta artículos publicados en catorce países de América y Europa. Promotor cultural en diversos proyectos desde 1972. Profesor universitario en Argentina, Brasil, Colombia, Perú, Ecuador, España y México desde 1975. </w:t>
      </w:r>
    </w:p>
    <w:p w:rsidR="00A356F4" w:rsidRDefault="00E842E5" w:rsidP="00F95417">
      <w:pPr>
        <w:pStyle w:val="NormalWeb"/>
        <w:shd w:val="clear" w:color="auto" w:fill="FFFFFF"/>
        <w:spacing w:before="0" w:beforeAutospacing="0" w:after="160" w:afterAutospacing="0" w:line="360" w:lineRule="auto"/>
        <w:jc w:val="both"/>
        <w:rPr>
          <w:rFonts w:eastAsiaTheme="minorHAnsi"/>
          <w:lang w:val="es-419" w:eastAsia="en-US"/>
        </w:rPr>
      </w:pPr>
      <w:r w:rsidRPr="00E842E5">
        <w:rPr>
          <w:rFonts w:eastAsiaTheme="minorHAnsi"/>
          <w:lang w:val="es-419" w:eastAsia="en-US"/>
        </w:rPr>
        <w:t>Fundador del doctorado en Análisis del Discurso y Semiótica de la Cultura, Escuela Nacional de Antropología e Historia (1996). Fundador del doctorado en Ciencias Sociales, Universidad de Colima (1997). Fundador del doctorado en Comunicación, Universidad Veracruzana (2001). Fundador del doctorado en Ciencias y Humanidades para el desarrollo Interdisciplinario, Universidad Autónoma de Coahuila y Universidad Nacional Autónoma de México (2010). </w:t>
      </w:r>
    </w:p>
    <w:p w:rsidR="00A356F4" w:rsidRDefault="00E842E5" w:rsidP="00F95417">
      <w:pPr>
        <w:pStyle w:val="NormalWeb"/>
        <w:shd w:val="clear" w:color="auto" w:fill="FFFFFF"/>
        <w:spacing w:before="0" w:beforeAutospacing="0" w:after="160" w:afterAutospacing="0" w:line="360" w:lineRule="auto"/>
        <w:jc w:val="both"/>
        <w:rPr>
          <w:rFonts w:eastAsiaTheme="minorHAnsi"/>
          <w:lang w:val="es-419" w:eastAsia="en-US"/>
        </w:rPr>
      </w:pPr>
      <w:r w:rsidRPr="00E842E5">
        <w:rPr>
          <w:rFonts w:eastAsiaTheme="minorHAnsi"/>
          <w:lang w:val="es-419" w:eastAsia="en-US"/>
        </w:rPr>
        <w:lastRenderedPageBreak/>
        <w:t xml:space="preserve">Ha desarrollado varios programas de </w:t>
      </w:r>
      <w:r w:rsidR="00525BD1" w:rsidRPr="00E842E5">
        <w:rPr>
          <w:rFonts w:eastAsiaTheme="minorHAnsi"/>
          <w:lang w:val="es-419" w:eastAsia="en-US"/>
        </w:rPr>
        <w:t>investigación. -</w:t>
      </w:r>
      <w:r w:rsidRPr="00E842E5">
        <w:rPr>
          <w:rFonts w:eastAsiaTheme="minorHAnsi"/>
          <w:lang w:val="es-419" w:eastAsia="en-US"/>
        </w:rPr>
        <w:t xml:space="preserve">Planeación y </w:t>
      </w:r>
      <w:r w:rsidR="002B507F" w:rsidRPr="00E842E5">
        <w:rPr>
          <w:rFonts w:eastAsiaTheme="minorHAnsi"/>
          <w:lang w:val="es-419" w:eastAsia="en-US"/>
        </w:rPr>
        <w:t>Organización Universitarias</w:t>
      </w:r>
      <w:r w:rsidRPr="00E842E5">
        <w:rPr>
          <w:rFonts w:eastAsiaTheme="minorHAnsi"/>
          <w:lang w:val="es-419" w:eastAsia="en-US"/>
        </w:rPr>
        <w:t xml:space="preserve"> (1975-1981), Antropología Urbana de los movimientos sociales urbanos en México (1980-1992), Sociología de la cultura contemporánea en México (1985-1993), Cultura de Investigación en las Ciencias Sociales (1985-2001), Cibercultura en México y América Latina (1993-2003), Hacia una Comunicología Posible (2001-2009). Ingeniería Social e Ingeniería en Comunicación Social (2001-vigente)</w:t>
      </w:r>
      <w:r>
        <w:rPr>
          <w:rFonts w:eastAsiaTheme="minorHAnsi"/>
          <w:lang w:val="es-419" w:eastAsia="en-US"/>
        </w:rPr>
        <w:t>.</w:t>
      </w:r>
    </w:p>
    <w:p w:rsidR="00A356F4" w:rsidRDefault="00E842E5" w:rsidP="00F95417">
      <w:pPr>
        <w:pStyle w:val="NormalWeb"/>
        <w:shd w:val="clear" w:color="auto" w:fill="FFFFFF"/>
        <w:spacing w:before="0" w:beforeAutospacing="0" w:after="160" w:afterAutospacing="0" w:line="360" w:lineRule="auto"/>
        <w:jc w:val="both"/>
        <w:rPr>
          <w:rFonts w:eastAsiaTheme="minorHAnsi"/>
          <w:lang w:val="es-419" w:eastAsia="en-US"/>
        </w:rPr>
      </w:pPr>
      <w:r w:rsidRPr="00E842E5">
        <w:rPr>
          <w:rFonts w:eastAsiaTheme="minorHAnsi"/>
          <w:lang w:val="es-419" w:eastAsia="en-US"/>
        </w:rPr>
        <w:t>Miembro de la Asociación Mexicana de Investigadores de la Comunicación (AMIC) desde 1982. Miembro del Programa de Estudios sobre las Culturas Contemporáneas (Programa Cultura) desde 1985. Miembro del Sistema Nacional de Investigadores del Consejo Nacional de Ciencia y Tecnología (SNI-CONACYT) desde 1987. Promotor del Grupo de Acción en Cultura de Investigación (GACI) desde 1994. Promotor de la Red de estudios en teoría de la comunicación (REDECOM) y del Grupo hacia una Comunicología posible (GUCOM) desde 2003. Miembro de la Red Deporte, Cultura física, ocio y recreación desde 2006. Promotor del Grupo hacia una Ingeniería en Comunicación Social (GICOM) desde 2009. Miembro de la Red Iberoamericana de Gestores Culturales desde 2009. Miembro de Instituto de Altos Estudios en Deporte, Cultura y Sociedad (INDECUS) desde 2010. </w:t>
      </w:r>
    </w:p>
    <w:p w:rsidR="00A356F4" w:rsidRDefault="00E842E5" w:rsidP="00F95417">
      <w:pPr>
        <w:pStyle w:val="NormalWeb"/>
        <w:shd w:val="clear" w:color="auto" w:fill="FFFFFF"/>
        <w:spacing w:before="0" w:beforeAutospacing="0" w:after="160" w:afterAutospacing="0" w:line="360" w:lineRule="auto"/>
        <w:jc w:val="both"/>
        <w:rPr>
          <w:rFonts w:eastAsiaTheme="minorHAnsi"/>
          <w:lang w:val="es-419" w:eastAsia="en-US"/>
        </w:rPr>
      </w:pPr>
      <w:r w:rsidRPr="00E842E5">
        <w:rPr>
          <w:rFonts w:eastAsiaTheme="minorHAnsi"/>
          <w:lang w:val="es-419" w:eastAsia="en-US"/>
        </w:rPr>
        <w:t>Trabaja por ciclos programáticos de alrededor de siete años. El ciclo actual iniciado en el año de 2009 se titula “Hacia una Ingeniería en Comunicación Social”. Este nuevo programa de trabajo tiene diversas áreas de desarrollo.</w:t>
      </w:r>
      <w:r w:rsidR="00525BD1">
        <w:rPr>
          <w:rFonts w:eastAsiaTheme="minorHAnsi"/>
          <w:lang w:val="es-419" w:eastAsia="en-US"/>
        </w:rPr>
        <w:t xml:space="preserve"> </w:t>
      </w:r>
      <w:r w:rsidRPr="00E842E5">
        <w:rPr>
          <w:rFonts w:eastAsiaTheme="minorHAnsi"/>
          <w:lang w:val="es-419" w:eastAsia="en-US"/>
        </w:rPr>
        <w:t xml:space="preserve">-El Deporte, la </w:t>
      </w:r>
      <w:r w:rsidR="00525BD1" w:rsidRPr="00E842E5">
        <w:rPr>
          <w:rFonts w:eastAsiaTheme="minorHAnsi"/>
          <w:lang w:val="es-419" w:eastAsia="en-US"/>
        </w:rPr>
        <w:t>Promoción y</w:t>
      </w:r>
      <w:r w:rsidRPr="00E842E5">
        <w:rPr>
          <w:rFonts w:eastAsiaTheme="minorHAnsi"/>
          <w:lang w:val="es-419" w:eastAsia="en-US"/>
        </w:rPr>
        <w:t xml:space="preserve"> gestión Cultural, la Cibercultura y las redes sociales, las Relaciones familiares y de pareja, la Comunicación Estratégica, PYMES y Movimientos sociales y colectivos sociales.</w:t>
      </w:r>
    </w:p>
    <w:p w:rsidR="00E842E5" w:rsidRDefault="00E842E5" w:rsidP="00F95417">
      <w:pPr>
        <w:pStyle w:val="NormalWeb"/>
        <w:shd w:val="clear" w:color="auto" w:fill="FFFFFF"/>
        <w:spacing w:before="0" w:beforeAutospacing="0" w:after="160" w:afterAutospacing="0" w:line="360" w:lineRule="auto"/>
        <w:jc w:val="both"/>
        <w:rPr>
          <w:rFonts w:eastAsiaTheme="minorHAnsi"/>
          <w:lang w:val="es-419" w:eastAsia="en-US"/>
        </w:rPr>
      </w:pPr>
      <w:r w:rsidRPr="00E842E5">
        <w:rPr>
          <w:rFonts w:eastAsiaTheme="minorHAnsi"/>
          <w:lang w:val="es-419" w:eastAsia="en-US"/>
        </w:rPr>
        <w:t>Tiene una larga trayectoria de contacto con el Centro Avanzado de Comunicación Eulalio Ferrer CADEC, donde ha sido docente, conferencista, estratega académico, promotor de la obra y pensamiento de Don Eulalio, de quien ha prologado textos, y para quien realizó una serie de homenajes en 2009, resultado de los cuales se publicó un libro titulado “Eulalio Ferrer, el caballero de la comunicología”, donde se incluye una de las últimas entrevistas que concedió.</w:t>
      </w:r>
    </w:p>
    <w:p w:rsidR="002B507F" w:rsidRDefault="002B507F" w:rsidP="00F95417">
      <w:pPr>
        <w:pStyle w:val="NormalWeb"/>
        <w:shd w:val="clear" w:color="auto" w:fill="FFFFFF"/>
        <w:spacing w:before="0" w:beforeAutospacing="0" w:after="160" w:afterAutospacing="0" w:line="360" w:lineRule="auto"/>
        <w:jc w:val="both"/>
        <w:rPr>
          <w:rFonts w:eastAsiaTheme="minorHAnsi"/>
          <w:b/>
          <w:lang w:val="es-419" w:eastAsia="en-US"/>
        </w:rPr>
      </w:pPr>
    </w:p>
    <w:p w:rsidR="00A356F4" w:rsidRPr="00E842E5" w:rsidRDefault="00A356F4" w:rsidP="00F95417">
      <w:pPr>
        <w:pStyle w:val="NormalWeb"/>
        <w:shd w:val="clear" w:color="auto" w:fill="FFFFFF"/>
        <w:spacing w:before="0" w:beforeAutospacing="0" w:after="160" w:afterAutospacing="0" w:line="360" w:lineRule="auto"/>
        <w:jc w:val="both"/>
        <w:rPr>
          <w:rFonts w:eastAsiaTheme="minorHAnsi"/>
          <w:b/>
          <w:lang w:val="es-419" w:eastAsia="en-US"/>
        </w:rPr>
      </w:pPr>
      <w:bookmarkStart w:id="0" w:name="_GoBack"/>
      <w:bookmarkEnd w:id="0"/>
    </w:p>
    <w:p w:rsidR="002B507F" w:rsidRPr="002B507F" w:rsidRDefault="00782E61" w:rsidP="00F95417">
      <w:pPr>
        <w:pStyle w:val="Prrafodelista"/>
        <w:numPr>
          <w:ilvl w:val="0"/>
          <w:numId w:val="2"/>
        </w:numPr>
        <w:shd w:val="clear" w:color="auto" w:fill="FFFFFF"/>
        <w:spacing w:after="150" w:line="360" w:lineRule="auto"/>
        <w:rPr>
          <w:rFonts w:ascii="Arial" w:eastAsia="Times New Roman" w:hAnsi="Arial" w:cs="Arial"/>
          <w:color w:val="333333"/>
          <w:sz w:val="21"/>
          <w:szCs w:val="21"/>
          <w:lang w:val="es-EC" w:eastAsia="es-EC"/>
        </w:rPr>
      </w:pPr>
      <w:r w:rsidRPr="00C873E8">
        <w:rPr>
          <w:b/>
          <w:sz w:val="24"/>
          <w:szCs w:val="24"/>
        </w:rPr>
        <w:lastRenderedPageBreak/>
        <w:t>Descargar un libro de GICOM.</w:t>
      </w:r>
    </w:p>
    <w:p w:rsidR="002B507F" w:rsidRPr="002B507F" w:rsidRDefault="002B507F" w:rsidP="00F95417">
      <w:pPr>
        <w:shd w:val="clear" w:color="auto" w:fill="FFFFFF"/>
        <w:spacing w:after="150" w:line="360" w:lineRule="auto"/>
        <w:jc w:val="center"/>
        <w:rPr>
          <w:rFonts w:ascii="Arial" w:eastAsia="Times New Roman" w:hAnsi="Arial" w:cs="Arial"/>
          <w:color w:val="333333"/>
          <w:sz w:val="21"/>
          <w:szCs w:val="21"/>
          <w:lang w:val="es-EC" w:eastAsia="es-EC"/>
        </w:rPr>
      </w:pPr>
      <w:r>
        <w:rPr>
          <w:noProof/>
        </w:rPr>
        <w:drawing>
          <wp:inline distT="0" distB="0" distL="0" distR="0">
            <wp:extent cx="1694455" cy="2276475"/>
            <wp:effectExtent l="0" t="0" r="127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21759" cy="2313158"/>
                    </a:xfrm>
                    <a:prstGeom prst="rect">
                      <a:avLst/>
                    </a:prstGeom>
                    <a:noFill/>
                    <a:ln>
                      <a:noFill/>
                    </a:ln>
                  </pic:spPr>
                </pic:pic>
              </a:graphicData>
            </a:graphic>
          </wp:inline>
        </w:drawing>
      </w:r>
    </w:p>
    <w:p w:rsidR="001D0AEC" w:rsidRDefault="00782E61" w:rsidP="00F95417">
      <w:pPr>
        <w:pStyle w:val="NormalWeb"/>
        <w:numPr>
          <w:ilvl w:val="0"/>
          <w:numId w:val="2"/>
        </w:numPr>
        <w:shd w:val="clear" w:color="auto" w:fill="FFFFFF"/>
        <w:spacing w:before="0" w:beforeAutospacing="0" w:after="160" w:afterAutospacing="0" w:line="360" w:lineRule="auto"/>
        <w:jc w:val="both"/>
        <w:rPr>
          <w:rFonts w:eastAsiaTheme="minorHAnsi"/>
          <w:b/>
          <w:lang w:val="es-419" w:eastAsia="en-US"/>
        </w:rPr>
      </w:pPr>
      <w:r w:rsidRPr="00782E61">
        <w:rPr>
          <w:rFonts w:eastAsiaTheme="minorHAnsi"/>
          <w:b/>
          <w:lang w:val="es-419" w:eastAsia="en-US"/>
        </w:rPr>
        <w:t xml:space="preserve">Informarse más acerca del Principio de Incertidumbre de </w:t>
      </w:r>
      <w:proofErr w:type="spellStart"/>
      <w:r w:rsidRPr="00782E61">
        <w:rPr>
          <w:rFonts w:eastAsiaTheme="minorHAnsi"/>
          <w:b/>
          <w:lang w:val="es-419" w:eastAsia="en-US"/>
        </w:rPr>
        <w:t>Heinserberg</w:t>
      </w:r>
      <w:proofErr w:type="spellEnd"/>
      <w:r w:rsidR="00707C54">
        <w:rPr>
          <w:rFonts w:eastAsiaTheme="minorHAnsi"/>
          <w:b/>
          <w:lang w:val="es-419" w:eastAsia="en-US"/>
        </w:rPr>
        <w:t>.</w:t>
      </w:r>
    </w:p>
    <w:p w:rsidR="001D0AEC" w:rsidRDefault="001D0AEC" w:rsidP="00F95417">
      <w:pPr>
        <w:pStyle w:val="NormalWeb"/>
        <w:shd w:val="clear" w:color="auto" w:fill="FFFFFF"/>
        <w:spacing w:before="0" w:beforeAutospacing="0" w:after="160" w:afterAutospacing="0" w:line="360" w:lineRule="auto"/>
        <w:jc w:val="both"/>
        <w:rPr>
          <w:rFonts w:eastAsiaTheme="minorHAnsi"/>
        </w:rPr>
      </w:pPr>
      <w:r w:rsidRPr="001D0AEC">
        <w:rPr>
          <w:rFonts w:eastAsiaTheme="minorHAnsi"/>
        </w:rPr>
        <w:t>Según el llamado Principio de Incertidumbre, la propia observación de un fenómeno, genera modificaciones en él.</w:t>
      </w:r>
    </w:p>
    <w:p w:rsidR="001D0AEC" w:rsidRDefault="001D0AEC" w:rsidP="00F95417">
      <w:pPr>
        <w:pStyle w:val="NormalWeb"/>
        <w:shd w:val="clear" w:color="auto" w:fill="FFFFFF"/>
        <w:spacing w:before="0" w:beforeAutospacing="0" w:after="160" w:afterAutospacing="0" w:line="360" w:lineRule="auto"/>
        <w:jc w:val="both"/>
        <w:rPr>
          <w:rFonts w:eastAsiaTheme="minorHAnsi"/>
          <w:lang w:val="es-419" w:eastAsia="en-US"/>
        </w:rPr>
      </w:pPr>
      <w:r w:rsidRPr="001D0AEC">
        <w:rPr>
          <w:rFonts w:eastAsiaTheme="minorHAnsi"/>
          <w:lang w:val="es-419" w:eastAsia="en-US"/>
        </w:rPr>
        <w:t>El Principio de Incertidumbre, o Principio de Indeterminación fue formulado por una de las más importantes figuras de la física cuántica: Werner Heisenberg.</w:t>
      </w:r>
    </w:p>
    <w:p w:rsidR="001D0AEC" w:rsidRDefault="001D0AEC" w:rsidP="00F95417">
      <w:pPr>
        <w:pStyle w:val="NormalWeb"/>
        <w:shd w:val="clear" w:color="auto" w:fill="FFFFFF"/>
        <w:spacing w:before="0" w:beforeAutospacing="0" w:after="160" w:afterAutospacing="0" w:line="360" w:lineRule="auto"/>
        <w:jc w:val="both"/>
        <w:rPr>
          <w:rFonts w:eastAsiaTheme="minorHAnsi"/>
          <w:lang w:val="es-419" w:eastAsia="en-US"/>
        </w:rPr>
      </w:pPr>
      <w:r w:rsidRPr="001D0AEC">
        <w:rPr>
          <w:rFonts w:eastAsiaTheme="minorHAnsi"/>
          <w:lang w:val="es-419" w:eastAsia="en-US"/>
        </w:rPr>
        <w:t>Según esta teoría, es imposible medir simultáneamente, y con una precisión absoluta, el valor de la posición y la cantidad de movimiento de una partícula determinada. La incertidumbre derivada de esta apreciación no corresponde al instrumento de medida, sino al propio hecho de pretender tomar dichas medidas.</w:t>
      </w:r>
    </w:p>
    <w:p w:rsidR="001D0AEC" w:rsidRDefault="001D0AEC" w:rsidP="00F95417">
      <w:pPr>
        <w:pStyle w:val="NormalWeb"/>
        <w:shd w:val="clear" w:color="auto" w:fill="FFFFFF"/>
        <w:spacing w:before="0" w:beforeAutospacing="0" w:after="160" w:afterAutospacing="0" w:line="360" w:lineRule="auto"/>
        <w:jc w:val="both"/>
        <w:rPr>
          <w:rFonts w:eastAsiaTheme="minorHAnsi"/>
          <w:lang w:val="es-419" w:eastAsia="en-US"/>
        </w:rPr>
      </w:pPr>
      <w:r w:rsidRPr="001D0AEC">
        <w:rPr>
          <w:rFonts w:eastAsiaTheme="minorHAnsi"/>
          <w:lang w:val="es-419" w:eastAsia="en-US"/>
        </w:rPr>
        <w:t>Incluso empleando los instrumentos más precisos y exactos jamás imaginados, el principio de incertidumbre se mantiene estable y vigente.</w:t>
      </w:r>
    </w:p>
    <w:p w:rsidR="001D0AEC" w:rsidRDefault="001D0AEC" w:rsidP="00F95417">
      <w:pPr>
        <w:pStyle w:val="NormalWeb"/>
        <w:shd w:val="clear" w:color="auto" w:fill="FFFFFF"/>
        <w:spacing w:before="0" w:beforeAutospacing="0" w:after="160" w:afterAutospacing="0" w:line="360" w:lineRule="auto"/>
        <w:jc w:val="both"/>
        <w:rPr>
          <w:rFonts w:eastAsiaTheme="minorHAnsi"/>
          <w:lang w:val="es-419" w:eastAsia="en-US"/>
        </w:rPr>
      </w:pPr>
      <w:r w:rsidRPr="001D0AEC">
        <w:rPr>
          <w:rFonts w:eastAsiaTheme="minorHAnsi"/>
          <w:lang w:val="es-419" w:eastAsia="en-US"/>
        </w:rPr>
        <w:t>Así, cuanto mayor es la precisión en la medida de una de las magnitudes, mayor es la incertidumbre derivada en la otra variable complementaria.</w:t>
      </w:r>
    </w:p>
    <w:p w:rsidR="001D0AEC" w:rsidRDefault="001D0AEC" w:rsidP="00F95417">
      <w:pPr>
        <w:pStyle w:val="NormalWeb"/>
        <w:shd w:val="clear" w:color="auto" w:fill="FFFFFF"/>
        <w:spacing w:before="0" w:beforeAutospacing="0" w:after="160" w:afterAutospacing="0" w:line="360" w:lineRule="auto"/>
        <w:jc w:val="both"/>
        <w:rPr>
          <w:rFonts w:eastAsiaTheme="minorHAnsi"/>
          <w:lang w:val="es-419" w:eastAsia="en-US"/>
        </w:rPr>
      </w:pPr>
      <w:r w:rsidRPr="001D0AEC">
        <w:rPr>
          <w:rFonts w:eastAsiaTheme="minorHAnsi"/>
          <w:lang w:val="es-419" w:eastAsia="en-US"/>
        </w:rPr>
        <w:t>La posición y la cantidad de movimiento de una partícula respecto de uno de los ejes de coordenadas son magnitudes complementarias, estrictamente sujetas a las restricciones del Principio de Incertidumbre de Heisenberg.</w:t>
      </w:r>
    </w:p>
    <w:p w:rsidR="001D0AEC" w:rsidRDefault="001D0AEC" w:rsidP="00F95417">
      <w:pPr>
        <w:pStyle w:val="NormalWeb"/>
        <w:shd w:val="clear" w:color="auto" w:fill="FFFFFF"/>
        <w:spacing w:before="0" w:beforeAutospacing="0" w:after="160" w:afterAutospacing="0" w:line="360" w:lineRule="auto"/>
        <w:jc w:val="both"/>
        <w:rPr>
          <w:rFonts w:eastAsiaTheme="minorHAnsi"/>
          <w:lang w:val="es-419" w:eastAsia="en-US"/>
        </w:rPr>
      </w:pPr>
      <w:r w:rsidRPr="001D0AEC">
        <w:rPr>
          <w:rFonts w:eastAsiaTheme="minorHAnsi"/>
          <w:lang w:val="es-419" w:eastAsia="en-US"/>
        </w:rPr>
        <w:t>Existen dos formas de interpretar esta teoría:</w:t>
      </w:r>
    </w:p>
    <w:p w:rsidR="001D0AEC" w:rsidRDefault="001D0AEC" w:rsidP="00F95417">
      <w:pPr>
        <w:pStyle w:val="NormalWeb"/>
        <w:shd w:val="clear" w:color="auto" w:fill="FFFFFF"/>
        <w:spacing w:before="0" w:beforeAutospacing="0" w:after="160" w:afterAutospacing="0" w:line="360" w:lineRule="auto"/>
        <w:jc w:val="both"/>
        <w:rPr>
          <w:rFonts w:eastAsiaTheme="minorHAnsi"/>
          <w:lang w:val="es-419" w:eastAsia="en-US"/>
        </w:rPr>
      </w:pPr>
      <w:r w:rsidRPr="001D0AEC">
        <w:rPr>
          <w:rFonts w:eastAsiaTheme="minorHAnsi"/>
          <w:lang w:val="es-419" w:eastAsia="en-US"/>
        </w:rPr>
        <w:t>Por un lado, en relación al hecho anteriormente citado de que “observar supone modificar” un elemento. Se trata de una idea ampliamente estudiada en filosofía, y hace referencia al cambio que se produce en el objeto cuando éste es observado por un sujeto.</w:t>
      </w:r>
    </w:p>
    <w:p w:rsidR="001D0AEC" w:rsidRDefault="001D0AEC" w:rsidP="00F95417">
      <w:pPr>
        <w:pStyle w:val="NormalWeb"/>
        <w:shd w:val="clear" w:color="auto" w:fill="FFFFFF"/>
        <w:spacing w:before="0" w:beforeAutospacing="0" w:after="160" w:afterAutospacing="0" w:line="360" w:lineRule="auto"/>
        <w:jc w:val="both"/>
        <w:rPr>
          <w:rFonts w:eastAsiaTheme="minorHAnsi"/>
          <w:lang w:val="es-419" w:eastAsia="en-US"/>
        </w:rPr>
      </w:pPr>
      <w:r w:rsidRPr="001D0AEC">
        <w:rPr>
          <w:rFonts w:eastAsiaTheme="minorHAnsi"/>
          <w:lang w:val="es-419" w:eastAsia="en-US"/>
        </w:rPr>
        <w:lastRenderedPageBreak/>
        <w:t>Por otra parte, respecto a lo incierto del mundo microscópico. Una partícula no tiene una posición o una velocidad determinada, sino muchas simultáneamente. Es la famosa paradoja del </w:t>
      </w:r>
      <w:hyperlink r:id="rId8" w:history="1">
        <w:r w:rsidRPr="001D0AEC">
          <w:rPr>
            <w:rFonts w:eastAsiaTheme="minorHAnsi"/>
            <w:lang w:val="es-419" w:eastAsia="en-US"/>
          </w:rPr>
          <w:t>gato de Schrödinger</w:t>
        </w:r>
      </w:hyperlink>
      <w:r w:rsidRPr="001D0AEC">
        <w:rPr>
          <w:rFonts w:eastAsiaTheme="minorHAnsi"/>
          <w:lang w:val="es-419" w:eastAsia="en-US"/>
        </w:rPr>
        <w:t>.</w:t>
      </w:r>
    </w:p>
    <w:p w:rsidR="001D0AEC" w:rsidRDefault="001D0AEC" w:rsidP="00F95417">
      <w:pPr>
        <w:pStyle w:val="NormalWeb"/>
        <w:shd w:val="clear" w:color="auto" w:fill="FFFFFF"/>
        <w:spacing w:before="0" w:beforeAutospacing="0" w:after="160" w:afterAutospacing="0" w:line="360" w:lineRule="auto"/>
        <w:jc w:val="both"/>
        <w:rPr>
          <w:rFonts w:eastAsiaTheme="minorHAnsi"/>
          <w:lang w:val="es-419" w:eastAsia="en-US"/>
        </w:rPr>
      </w:pPr>
      <w:r w:rsidRPr="001D0AEC">
        <w:rPr>
          <w:rFonts w:eastAsiaTheme="minorHAnsi"/>
          <w:lang w:val="es-419" w:eastAsia="en-US"/>
        </w:rPr>
        <w:t>Las aplicaciones reales de este principio son muchas. Se trata de una teoría que se da prácticamente a diario en los laboratorios de física, y que se encuentra en la base de todas las tecnologías que emplean las propiedades microscópicas de la materia, como los ordenadores y los teléfonos móviles.</w:t>
      </w:r>
    </w:p>
    <w:p w:rsidR="00782E61" w:rsidRPr="001D0AEC" w:rsidRDefault="001D0AEC" w:rsidP="00F95417">
      <w:pPr>
        <w:pStyle w:val="NormalWeb"/>
        <w:shd w:val="clear" w:color="auto" w:fill="FFFFFF"/>
        <w:spacing w:before="0" w:beforeAutospacing="0" w:after="160" w:afterAutospacing="0" w:line="360" w:lineRule="auto"/>
        <w:jc w:val="both"/>
        <w:rPr>
          <w:rFonts w:eastAsiaTheme="minorHAnsi"/>
          <w:b/>
          <w:lang w:val="es-419" w:eastAsia="en-US"/>
        </w:rPr>
      </w:pPr>
      <w:r w:rsidRPr="001D0AEC">
        <w:rPr>
          <w:rFonts w:eastAsiaTheme="minorHAnsi"/>
          <w:lang w:val="es-419" w:eastAsia="en-US"/>
        </w:rPr>
        <w:t>Además, gracias al Principio de Incertidumbre podemos entender fenómenos físicos como el que se da cuando átomos y moléculas ocupan un mismo espacio sin riesgo a que colapsen.</w:t>
      </w:r>
    </w:p>
    <w:p w:rsidR="00B07588" w:rsidRDefault="002B507F" w:rsidP="00F95417">
      <w:pPr>
        <w:spacing w:line="360" w:lineRule="auto"/>
        <w:rPr>
          <w:rFonts w:ascii="Times New Roman" w:hAnsi="Times New Roman" w:cs="Times New Roman"/>
          <w:b/>
          <w:bCs/>
          <w:sz w:val="24"/>
          <w:szCs w:val="24"/>
        </w:rPr>
      </w:pPr>
      <w:r w:rsidRPr="002B507F">
        <w:rPr>
          <w:rFonts w:ascii="Times New Roman" w:hAnsi="Times New Roman" w:cs="Times New Roman"/>
          <w:b/>
          <w:bCs/>
          <w:sz w:val="24"/>
          <w:szCs w:val="24"/>
        </w:rPr>
        <w:t xml:space="preserve">Webgrafía: </w:t>
      </w:r>
    </w:p>
    <w:p w:rsidR="002B507F" w:rsidRDefault="00A356F4" w:rsidP="00F95417">
      <w:pPr>
        <w:pStyle w:val="Prrafodelista"/>
        <w:numPr>
          <w:ilvl w:val="0"/>
          <w:numId w:val="3"/>
        </w:numPr>
        <w:spacing w:line="360" w:lineRule="auto"/>
        <w:jc w:val="both"/>
      </w:pPr>
      <w:hyperlink r:id="rId9" w:history="1">
        <w:r w:rsidR="002B507F">
          <w:rPr>
            <w:rStyle w:val="Hipervnculo"/>
          </w:rPr>
          <w:t>http://www.gicom.com.mx/wp-content/uploads/2016/04/2015-02-12.-Jes%C3%BAs-Galindo.-Ingenieria_en-Comunicaci%C3%B3n-Social.-Hacia-un-Programa-General-1.pdf</w:t>
        </w:r>
      </w:hyperlink>
    </w:p>
    <w:p w:rsidR="002B507F" w:rsidRDefault="00A356F4" w:rsidP="00F95417">
      <w:pPr>
        <w:pStyle w:val="Prrafodelista"/>
        <w:numPr>
          <w:ilvl w:val="0"/>
          <w:numId w:val="3"/>
        </w:numPr>
        <w:spacing w:line="360" w:lineRule="auto"/>
        <w:jc w:val="both"/>
      </w:pPr>
      <w:hyperlink r:id="rId10" w:history="1">
        <w:r w:rsidR="002B507F">
          <w:rPr>
            <w:rStyle w:val="Hipervnculo"/>
          </w:rPr>
          <w:t>http://www.cadec.mx/index.php/component/spsimpleportfolio/item/2-jesus-galindo</w:t>
        </w:r>
      </w:hyperlink>
    </w:p>
    <w:p w:rsidR="002B507F" w:rsidRDefault="00A356F4" w:rsidP="00F95417">
      <w:pPr>
        <w:pStyle w:val="Prrafodelista"/>
        <w:numPr>
          <w:ilvl w:val="0"/>
          <w:numId w:val="3"/>
        </w:numPr>
        <w:spacing w:line="360" w:lineRule="auto"/>
        <w:jc w:val="both"/>
      </w:pPr>
      <w:hyperlink r:id="rId11" w:history="1">
        <w:r w:rsidR="001856FF">
          <w:rPr>
            <w:rStyle w:val="Hipervnculo"/>
          </w:rPr>
          <w:t>http://www.gicom.com.mx/wp-content/uploads/2018/10/Galindo-ICS-del-Deporte.pdf</w:t>
        </w:r>
      </w:hyperlink>
    </w:p>
    <w:p w:rsidR="001856FF" w:rsidRDefault="00A356F4" w:rsidP="00F95417">
      <w:pPr>
        <w:pStyle w:val="Prrafodelista"/>
        <w:numPr>
          <w:ilvl w:val="0"/>
          <w:numId w:val="3"/>
        </w:numPr>
        <w:spacing w:line="360" w:lineRule="auto"/>
        <w:jc w:val="both"/>
      </w:pPr>
      <w:hyperlink r:id="rId12" w:history="1">
        <w:r w:rsidR="001856FF">
          <w:rPr>
            <w:rStyle w:val="Hipervnculo"/>
          </w:rPr>
          <w:t>https://academiaplay.es/principio-incertidumbre/</w:t>
        </w:r>
      </w:hyperlink>
    </w:p>
    <w:p w:rsidR="001856FF" w:rsidRPr="002B507F" w:rsidRDefault="001856FF" w:rsidP="00F95417">
      <w:pPr>
        <w:spacing w:line="360" w:lineRule="auto"/>
        <w:rPr>
          <w:rFonts w:ascii="Times New Roman" w:hAnsi="Times New Roman" w:cs="Times New Roman"/>
          <w:b/>
          <w:bCs/>
          <w:sz w:val="24"/>
          <w:szCs w:val="24"/>
        </w:rPr>
      </w:pPr>
    </w:p>
    <w:sectPr w:rsidR="001856FF" w:rsidRPr="002B507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C63EAC"/>
    <w:multiLevelType w:val="hybridMultilevel"/>
    <w:tmpl w:val="0B669E2A"/>
    <w:lvl w:ilvl="0" w:tplc="300A000B">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3D313E5F"/>
    <w:multiLevelType w:val="hybridMultilevel"/>
    <w:tmpl w:val="1FBE1F4A"/>
    <w:lvl w:ilvl="0" w:tplc="300A000B">
      <w:start w:val="1"/>
      <w:numFmt w:val="bullet"/>
      <w:lvlText w:val=""/>
      <w:lvlJc w:val="left"/>
      <w:pPr>
        <w:ind w:left="360" w:hanging="360"/>
      </w:pPr>
      <w:rPr>
        <w:rFonts w:ascii="Wingdings" w:hAnsi="Wingdings" w:hint="default"/>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2" w15:restartNumberingAfterBreak="0">
    <w:nsid w:val="72AB4EF0"/>
    <w:multiLevelType w:val="hybridMultilevel"/>
    <w:tmpl w:val="F7423C52"/>
    <w:lvl w:ilvl="0" w:tplc="300A000B">
      <w:start w:val="1"/>
      <w:numFmt w:val="bullet"/>
      <w:lvlText w:val=""/>
      <w:lvlJc w:val="left"/>
      <w:pPr>
        <w:ind w:left="360" w:hanging="360"/>
      </w:pPr>
      <w:rPr>
        <w:rFonts w:ascii="Wingdings" w:hAnsi="Wingdings" w:hint="default"/>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28E7"/>
    <w:rsid w:val="00123F8D"/>
    <w:rsid w:val="001856FF"/>
    <w:rsid w:val="001D0AEC"/>
    <w:rsid w:val="002B507F"/>
    <w:rsid w:val="004028E7"/>
    <w:rsid w:val="00525BD1"/>
    <w:rsid w:val="00681432"/>
    <w:rsid w:val="00707C54"/>
    <w:rsid w:val="00782E61"/>
    <w:rsid w:val="009156D5"/>
    <w:rsid w:val="00A356F4"/>
    <w:rsid w:val="00B03C80"/>
    <w:rsid w:val="00B07588"/>
    <w:rsid w:val="00C873E8"/>
    <w:rsid w:val="00D52550"/>
    <w:rsid w:val="00DA0FD6"/>
    <w:rsid w:val="00E842E5"/>
    <w:rsid w:val="00F95417"/>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9F910"/>
  <w15:chartTrackingRefBased/>
  <w15:docId w15:val="{CC918413-FB1D-463C-830A-D69ED9A12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028E7"/>
    <w:rPr>
      <w:lang w:val="es-41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4028E7"/>
    <w:pPr>
      <w:spacing w:before="100" w:beforeAutospacing="1" w:after="100" w:afterAutospacing="1" w:line="240" w:lineRule="auto"/>
    </w:pPr>
    <w:rPr>
      <w:rFonts w:ascii="Times New Roman" w:eastAsia="Times New Roman" w:hAnsi="Times New Roman" w:cs="Times New Roman"/>
      <w:sz w:val="24"/>
      <w:szCs w:val="24"/>
      <w:lang w:val="es-EC" w:eastAsia="es-EC"/>
    </w:rPr>
  </w:style>
  <w:style w:type="character" w:styleId="Hipervnculo">
    <w:name w:val="Hyperlink"/>
    <w:basedOn w:val="Fuentedeprrafopredeter"/>
    <w:uiPriority w:val="99"/>
    <w:semiHidden/>
    <w:unhideWhenUsed/>
    <w:rsid w:val="00123F8D"/>
    <w:rPr>
      <w:color w:val="0000FF"/>
      <w:u w:val="single"/>
    </w:rPr>
  </w:style>
  <w:style w:type="paragraph" w:styleId="Prrafodelista">
    <w:name w:val="List Paragraph"/>
    <w:basedOn w:val="Normal"/>
    <w:uiPriority w:val="34"/>
    <w:qFormat/>
    <w:rsid w:val="00C873E8"/>
    <w:pPr>
      <w:ind w:left="720"/>
      <w:contextualSpacing/>
    </w:pPr>
  </w:style>
  <w:style w:type="character" w:styleId="Textoennegrita">
    <w:name w:val="Strong"/>
    <w:basedOn w:val="Fuentedeprrafopredeter"/>
    <w:uiPriority w:val="22"/>
    <w:qFormat/>
    <w:rsid w:val="001D0A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7175709">
      <w:bodyDiv w:val="1"/>
      <w:marLeft w:val="0"/>
      <w:marRight w:val="0"/>
      <w:marTop w:val="0"/>
      <w:marBottom w:val="0"/>
      <w:divBdr>
        <w:top w:val="none" w:sz="0" w:space="0" w:color="auto"/>
        <w:left w:val="none" w:sz="0" w:space="0" w:color="auto"/>
        <w:bottom w:val="none" w:sz="0" w:space="0" w:color="auto"/>
        <w:right w:val="none" w:sz="0" w:space="0" w:color="auto"/>
      </w:divBdr>
    </w:div>
    <w:div w:id="1287931171">
      <w:bodyDiv w:val="1"/>
      <w:marLeft w:val="0"/>
      <w:marRight w:val="0"/>
      <w:marTop w:val="0"/>
      <w:marBottom w:val="0"/>
      <w:divBdr>
        <w:top w:val="none" w:sz="0" w:space="0" w:color="auto"/>
        <w:left w:val="none" w:sz="0" w:space="0" w:color="auto"/>
        <w:bottom w:val="none" w:sz="0" w:space="0" w:color="auto"/>
        <w:right w:val="none" w:sz="0" w:space="0" w:color="auto"/>
      </w:divBdr>
    </w:div>
    <w:div w:id="1303193933">
      <w:bodyDiv w:val="1"/>
      <w:marLeft w:val="0"/>
      <w:marRight w:val="0"/>
      <w:marTop w:val="0"/>
      <w:marBottom w:val="0"/>
      <w:divBdr>
        <w:top w:val="none" w:sz="0" w:space="0" w:color="auto"/>
        <w:left w:val="none" w:sz="0" w:space="0" w:color="auto"/>
        <w:bottom w:val="none" w:sz="0" w:space="0" w:color="auto"/>
        <w:right w:val="none" w:sz="0" w:space="0" w:color="auto"/>
      </w:divBdr>
    </w:div>
    <w:div w:id="1587374876">
      <w:bodyDiv w:val="1"/>
      <w:marLeft w:val="0"/>
      <w:marRight w:val="0"/>
      <w:marTop w:val="0"/>
      <w:marBottom w:val="0"/>
      <w:divBdr>
        <w:top w:val="none" w:sz="0" w:space="0" w:color="auto"/>
        <w:left w:val="none" w:sz="0" w:space="0" w:color="auto"/>
        <w:bottom w:val="none" w:sz="0" w:space="0" w:color="auto"/>
        <w:right w:val="none" w:sz="0" w:space="0" w:color="auto"/>
      </w:divBdr>
    </w:div>
    <w:div w:id="1885827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cademiaplay.es/paradojas-mente-activ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academiaplay.es/principio-incertidumbr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www.gicom.com.mx/wp-content/uploads/2018/10/Galindo-ICS-del-Deporte.pdf" TargetMode="External"/><Relationship Id="rId5" Type="http://schemas.openxmlformats.org/officeDocument/2006/relationships/image" Target="media/image1.png"/><Relationship Id="rId10" Type="http://schemas.openxmlformats.org/officeDocument/2006/relationships/hyperlink" Target="http://www.cadec.mx/index.php/component/spsimpleportfolio/item/2-jesus-galindo" TargetMode="External"/><Relationship Id="rId4" Type="http://schemas.openxmlformats.org/officeDocument/2006/relationships/webSettings" Target="webSettings.xml"/><Relationship Id="rId9" Type="http://schemas.openxmlformats.org/officeDocument/2006/relationships/hyperlink" Target="http://www.gicom.com.mx/wp-content/uploads/2016/04/2015-02-12.-Jes%C3%BAs-Galindo.-Ingenieria_en-Comunicaci%C3%B3n-Social.-Hacia-un-Programa-General-1.pdf"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4</Pages>
  <Words>1116</Words>
  <Characters>6138</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CRISTHIAN G</dc:creator>
  <cp:keywords/>
  <dc:description/>
  <cp:lastModifiedBy>CRISTHIAN G</cp:lastModifiedBy>
  <cp:revision>16</cp:revision>
  <dcterms:created xsi:type="dcterms:W3CDTF">2019-10-05T21:11:00Z</dcterms:created>
  <dcterms:modified xsi:type="dcterms:W3CDTF">2019-10-05T22:31:00Z</dcterms:modified>
</cp:coreProperties>
</file>