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
        <w:tblW w:w="9923" w:type="dxa"/>
        <w:tblInd w:w="-714" w:type="dxa"/>
        <w:tblCellMar>
          <w:left w:w="70" w:type="dxa"/>
          <w:right w:w="70" w:type="dxa"/>
        </w:tblCellMar>
        <w:tblLook w:val="0000" w:firstRow="0" w:lastRow="0" w:firstColumn="0" w:lastColumn="0" w:noHBand="0" w:noVBand="0"/>
      </w:tblPr>
      <w:tblGrid>
        <w:gridCol w:w="5068"/>
        <w:gridCol w:w="4855"/>
      </w:tblGrid>
      <w:tr w:rsidR="001E285D" w14:paraId="7390835E" w14:textId="77777777" w:rsidTr="00D94038">
        <w:trPr>
          <w:trHeight w:val="758"/>
        </w:trPr>
        <w:tc>
          <w:tcPr>
            <w:tcW w:w="9923" w:type="dxa"/>
            <w:gridSpan w:val="2"/>
          </w:tcPr>
          <w:p w14:paraId="1DC3974F" w14:textId="5089EEFF" w:rsidR="001E285D" w:rsidRPr="00C765E8" w:rsidRDefault="00510AAB" w:rsidP="001E285D">
            <w:pPr>
              <w:jc w:val="center"/>
              <w:rPr>
                <w:b/>
              </w:rPr>
            </w:pPr>
            <w:r>
              <w:rPr>
                <w:b/>
              </w:rPr>
              <w:t xml:space="preserve">Comunicación Institucional. </w:t>
            </w:r>
          </w:p>
        </w:tc>
      </w:tr>
      <w:tr w:rsidR="001E285D" w14:paraId="18467F11" w14:textId="77777777" w:rsidTr="00D94038">
        <w:tblPrEx>
          <w:tblCellMar>
            <w:left w:w="108" w:type="dxa"/>
            <w:right w:w="108" w:type="dxa"/>
          </w:tblCellMar>
          <w:tblLook w:val="04A0" w:firstRow="1" w:lastRow="0" w:firstColumn="1" w:lastColumn="0" w:noHBand="0" w:noVBand="1"/>
        </w:tblPrEx>
        <w:trPr>
          <w:trHeight w:val="506"/>
        </w:trPr>
        <w:tc>
          <w:tcPr>
            <w:tcW w:w="5068" w:type="dxa"/>
          </w:tcPr>
          <w:p w14:paraId="0A0CACE8" w14:textId="77777777" w:rsidR="001E285D" w:rsidRPr="00C765E8" w:rsidRDefault="001E285D" w:rsidP="001E285D">
            <w:pPr>
              <w:rPr>
                <w:b/>
              </w:rPr>
            </w:pPr>
            <w:r w:rsidRPr="00C765E8">
              <w:rPr>
                <w:b/>
              </w:rPr>
              <w:t>Datos Generales</w:t>
            </w:r>
          </w:p>
        </w:tc>
        <w:tc>
          <w:tcPr>
            <w:tcW w:w="4855" w:type="dxa"/>
          </w:tcPr>
          <w:p w14:paraId="2351E838" w14:textId="77777777" w:rsidR="001E285D" w:rsidRPr="00C765E8" w:rsidRDefault="001E285D" w:rsidP="001E285D">
            <w:pPr>
              <w:rPr>
                <w:b/>
              </w:rPr>
            </w:pPr>
            <w:r w:rsidRPr="00C765E8">
              <w:rPr>
                <w:b/>
              </w:rPr>
              <w:t>Datos Bibliográficos</w:t>
            </w:r>
          </w:p>
        </w:tc>
      </w:tr>
      <w:tr w:rsidR="001E285D" w14:paraId="7ABC3465" w14:textId="77777777" w:rsidTr="00D94038">
        <w:tblPrEx>
          <w:tblCellMar>
            <w:left w:w="108" w:type="dxa"/>
            <w:right w:w="108" w:type="dxa"/>
          </w:tblCellMar>
          <w:tblLook w:val="04A0" w:firstRow="1" w:lastRow="0" w:firstColumn="1" w:lastColumn="0" w:noHBand="0" w:noVBand="1"/>
        </w:tblPrEx>
        <w:trPr>
          <w:trHeight w:val="2257"/>
        </w:trPr>
        <w:tc>
          <w:tcPr>
            <w:tcW w:w="5068" w:type="dxa"/>
          </w:tcPr>
          <w:p w14:paraId="63857708" w14:textId="77777777" w:rsidR="001E3020" w:rsidRDefault="001E285D" w:rsidP="001E285D">
            <w:r w:rsidRPr="001E3020">
              <w:rPr>
                <w:b/>
              </w:rPr>
              <w:t>Nombre:</w:t>
            </w:r>
            <w:r>
              <w:t xml:space="preserve"> </w:t>
            </w:r>
          </w:p>
          <w:p w14:paraId="12344F2B" w14:textId="77777777" w:rsidR="001E3020" w:rsidRDefault="001E285D" w:rsidP="001E285D">
            <w:r>
              <w:t>Jo</w:t>
            </w:r>
            <w:r w:rsidR="00502B8F">
              <w:t>sé Andrés Yambay Damián</w:t>
            </w:r>
            <w:r>
              <w:br/>
            </w:r>
            <w:r w:rsidRPr="001E3020">
              <w:rPr>
                <w:b/>
              </w:rPr>
              <w:t>Curso:</w:t>
            </w:r>
            <w:r>
              <w:t xml:space="preserve"> </w:t>
            </w:r>
          </w:p>
          <w:p w14:paraId="7BCDCF41" w14:textId="57378DA8" w:rsidR="001E285D" w:rsidRDefault="00510AAB" w:rsidP="001E285D">
            <w:r>
              <w:t>6</w:t>
            </w:r>
            <w:r w:rsidR="00502B8F">
              <w:t>°</w:t>
            </w:r>
            <w:r w:rsidR="001E285D">
              <w:t xml:space="preserve"> “</w:t>
            </w:r>
            <w:r>
              <w:t>B</w:t>
            </w:r>
            <w:r w:rsidR="001E285D">
              <w:t>”</w:t>
            </w:r>
          </w:p>
          <w:p w14:paraId="2194D804" w14:textId="77777777" w:rsidR="001E3020" w:rsidRDefault="001E285D" w:rsidP="001E285D">
            <w:proofErr w:type="spellStart"/>
            <w:r w:rsidRPr="001E3020">
              <w:rPr>
                <w:b/>
              </w:rPr>
              <w:t>Prof</w:t>
            </w:r>
            <w:proofErr w:type="spellEnd"/>
            <w:r w:rsidRPr="001E3020">
              <w:rPr>
                <w:b/>
              </w:rPr>
              <w:t>:</w:t>
            </w:r>
            <w:r>
              <w:t xml:space="preserve"> </w:t>
            </w:r>
          </w:p>
          <w:p w14:paraId="662FDE67" w14:textId="2062C0FC" w:rsidR="001E3020" w:rsidRDefault="00510AAB" w:rsidP="001E285D">
            <w:r>
              <w:t>Octavio Islas</w:t>
            </w:r>
            <w:r w:rsidR="001E285D">
              <w:br/>
            </w:r>
            <w:r w:rsidR="001E285D" w:rsidRPr="001E3020">
              <w:rPr>
                <w:b/>
              </w:rPr>
              <w:t>Fecha:</w:t>
            </w:r>
            <w:r w:rsidR="001E285D">
              <w:t xml:space="preserve"> </w:t>
            </w:r>
          </w:p>
          <w:p w14:paraId="55740429" w14:textId="02679263" w:rsidR="001E285D" w:rsidRDefault="00510AAB" w:rsidP="001E285D">
            <w:r>
              <w:t>6</w:t>
            </w:r>
            <w:r w:rsidR="00502B8F">
              <w:t>/</w:t>
            </w:r>
            <w:r>
              <w:t>10</w:t>
            </w:r>
            <w:r w:rsidR="00502B8F">
              <w:t>/2019</w:t>
            </w:r>
          </w:p>
        </w:tc>
        <w:tc>
          <w:tcPr>
            <w:tcW w:w="4855" w:type="dxa"/>
          </w:tcPr>
          <w:p w14:paraId="5ED08491" w14:textId="77777777" w:rsidR="001E285D" w:rsidRDefault="001E3020" w:rsidP="001E285D">
            <w:pPr>
              <w:rPr>
                <w:b/>
              </w:rPr>
            </w:pPr>
            <w:r w:rsidRPr="001E3020">
              <w:rPr>
                <w:b/>
              </w:rPr>
              <w:t>Título</w:t>
            </w:r>
            <w:r w:rsidR="001E285D" w:rsidRPr="001E3020">
              <w:rPr>
                <w:b/>
              </w:rPr>
              <w:t xml:space="preserve"> de libro:</w:t>
            </w:r>
          </w:p>
          <w:p w14:paraId="4FB022CB" w14:textId="77777777" w:rsidR="001E3020" w:rsidRDefault="00D94038" w:rsidP="001E285D">
            <w:r>
              <w:t>Ingeniería en Comunicación Social, Hacia un programa general.</w:t>
            </w:r>
          </w:p>
          <w:p w14:paraId="11E9E996" w14:textId="77777777" w:rsidR="00D94038" w:rsidRDefault="00D94038" w:rsidP="001E285D">
            <w:pPr>
              <w:rPr>
                <w:b/>
                <w:bCs/>
              </w:rPr>
            </w:pPr>
            <w:r>
              <w:rPr>
                <w:b/>
                <w:bCs/>
              </w:rPr>
              <w:t>Autor:</w:t>
            </w:r>
          </w:p>
          <w:p w14:paraId="3C5587DB" w14:textId="77777777" w:rsidR="00D94038" w:rsidRPr="00D94038" w:rsidRDefault="00D94038" w:rsidP="00D94038">
            <w:pPr>
              <w:rPr>
                <w:b/>
                <w:bCs/>
                <w:lang w:val="es-EC"/>
              </w:rPr>
            </w:pPr>
            <w:r w:rsidRPr="00D94038">
              <w:rPr>
                <w:b/>
                <w:bCs/>
                <w:lang w:val="es-EC"/>
              </w:rPr>
              <w:t>Luis Jesús Galindo Cáceres</w:t>
            </w:r>
            <w:r w:rsidRPr="00D94038">
              <w:rPr>
                <w:b/>
                <w:bCs/>
                <w:lang w:val="es-EC"/>
              </w:rPr>
              <w:br/>
              <w:t>Ed. Benemérita Universidad Autónoma de Puebla (BUAP), México, 2014</w:t>
            </w:r>
          </w:p>
          <w:p w14:paraId="412D1CF2" w14:textId="29ADF703" w:rsidR="00D94038" w:rsidRPr="00D94038" w:rsidRDefault="00D94038" w:rsidP="001E285D">
            <w:pPr>
              <w:rPr>
                <w:b/>
                <w:bCs/>
                <w:lang w:val="es-EC"/>
              </w:rPr>
            </w:pPr>
          </w:p>
        </w:tc>
      </w:tr>
      <w:tr w:rsidR="008D0B73" w14:paraId="4F77CC9F" w14:textId="77777777" w:rsidTr="00D94038">
        <w:tblPrEx>
          <w:tblCellMar>
            <w:left w:w="108" w:type="dxa"/>
            <w:right w:w="108" w:type="dxa"/>
          </w:tblCellMar>
          <w:tblLook w:val="04A0" w:firstRow="1" w:lastRow="0" w:firstColumn="1" w:lastColumn="0" w:noHBand="0" w:noVBand="1"/>
        </w:tblPrEx>
        <w:trPr>
          <w:trHeight w:val="559"/>
        </w:trPr>
        <w:tc>
          <w:tcPr>
            <w:tcW w:w="9923" w:type="dxa"/>
            <w:gridSpan w:val="2"/>
          </w:tcPr>
          <w:p w14:paraId="213307A5" w14:textId="385AB1CE" w:rsidR="008D0B73" w:rsidRDefault="00D94038" w:rsidP="00C81666">
            <w:pPr>
              <w:spacing w:line="276" w:lineRule="auto"/>
              <w:rPr>
                <w:b/>
              </w:rPr>
            </w:pPr>
            <w:r>
              <w:rPr>
                <w:b/>
              </w:rPr>
              <w:br/>
            </w:r>
            <w:r w:rsidR="00510AAB" w:rsidRPr="00510AAB">
              <w:rPr>
                <w:b/>
              </w:rPr>
              <w:t>¿Qué es ingeniería en comunicación social?</w:t>
            </w:r>
          </w:p>
          <w:p w14:paraId="1E9AEBF4" w14:textId="77777777" w:rsidR="00D94038" w:rsidRDefault="00D94038" w:rsidP="00C81666">
            <w:pPr>
              <w:spacing w:line="276" w:lineRule="auto"/>
              <w:rPr>
                <w:b/>
              </w:rPr>
            </w:pPr>
          </w:p>
          <w:p w14:paraId="5F69A9C3" w14:textId="164BB48E" w:rsidR="00510AAB" w:rsidRPr="00510AAB" w:rsidRDefault="00510AAB" w:rsidP="00510AAB">
            <w:pPr>
              <w:spacing w:line="276" w:lineRule="auto"/>
              <w:jc w:val="both"/>
              <w:rPr>
                <w:lang w:val="es-EC"/>
              </w:rPr>
            </w:pPr>
            <w:r w:rsidRPr="00510AAB">
              <w:rPr>
                <w:lang w:val="es-EC"/>
              </w:rPr>
              <w:t>La metodología que nos propone </w:t>
            </w:r>
            <w:hyperlink r:id="rId5" w:tgtFrame="_blank" w:history="1">
              <w:r w:rsidRPr="00510AAB">
                <w:rPr>
                  <w:rStyle w:val="Hipervnculo"/>
                  <w:b/>
                  <w:bCs/>
                  <w:color w:val="auto"/>
                  <w:u w:color="FFFFFF" w:themeColor="background1"/>
                  <w:lang w:val="es-EC"/>
                </w:rPr>
                <w:t>Galindo</w:t>
              </w:r>
            </w:hyperlink>
            <w:r w:rsidRPr="00510AAB">
              <w:rPr>
                <w:lang w:val="es-EC"/>
              </w:rPr>
              <w:t> parte de Piaget y de su idea de que la vida humana va detrás de la acción. El acontecimiento viene primero y la organización cognitiva viene detrás, tratando de dar cuenta de él. En eso coinciden tanto la ciencia como la ingeniería pues ambas necesitan configurar las operaciones básicas de observación del hecho externo que ha merecido su interés. Pero mientras la ciencia lo que pretende es entender y explicar el fenómeno observado y sus posibles consecuencias, la ingeniería pretende operar sobre dicho fenómeno social para transformarlo en el sentido que se pretende y así evitar las consecuencias no deseadas. Y, por ello, requiere una configuración cognitiva distinta que le dé al “operador social” los conocimientos y recursos necesarios no solo para entender sino también para saber qué hacer y cómo hacerlo</w:t>
            </w:r>
            <w:r w:rsidR="00D94038">
              <w:rPr>
                <w:lang w:val="es-EC"/>
              </w:rPr>
              <w:t>.</w:t>
            </w:r>
            <w:r w:rsidRPr="00510AAB">
              <w:rPr>
                <w:lang w:val="es-EC"/>
              </w:rPr>
              <w:br/>
              <w:t> </w:t>
            </w:r>
          </w:p>
          <w:p w14:paraId="73A27E59" w14:textId="57B77692" w:rsidR="00510AAB" w:rsidRPr="00510AAB" w:rsidRDefault="00510AAB" w:rsidP="00510AAB">
            <w:pPr>
              <w:spacing w:line="276" w:lineRule="auto"/>
              <w:jc w:val="both"/>
              <w:rPr>
                <w:lang w:val="es-EC"/>
              </w:rPr>
            </w:pPr>
            <w:r w:rsidRPr="00510AAB">
              <w:rPr>
                <w:lang w:val="es-EC"/>
              </w:rPr>
              <w:t>La segunda reflexión que hace</w:t>
            </w:r>
            <w:r w:rsidRPr="00510AAB">
              <w:rPr>
                <w:color w:val="000000" w:themeColor="text1"/>
                <w:u w:color="FFFFFF" w:themeColor="background1"/>
                <w:lang w:val="es-EC"/>
              </w:rPr>
              <w:t> </w:t>
            </w:r>
            <w:hyperlink r:id="rId6" w:tgtFrame="_blank" w:history="1">
              <w:r w:rsidRPr="00510AAB">
                <w:rPr>
                  <w:rStyle w:val="Hipervnculo"/>
                  <w:color w:val="000000" w:themeColor="text1"/>
                  <w:u w:color="FFFFFF" w:themeColor="background1"/>
                  <w:lang w:val="es-EC"/>
                </w:rPr>
                <w:t>Galindo</w:t>
              </w:r>
            </w:hyperlink>
            <w:r w:rsidRPr="00510AAB">
              <w:rPr>
                <w:lang w:val="es-EC"/>
              </w:rPr>
              <w:t xml:space="preserve"> me atrae especialmente pues viene a coincidir con una de mis inquietudes: la diferencia entre estrategias de comunicación y estrategias desde la comunicación. Galindo se plantea si es posible percibir un ámbito de fenómenos y asuntos desde el punto de vista de lo que entendemos por comunicación. A lo que el propio Galindo se responde con un rotundo: Sí, es posible. La importancia de esta reflexión para mí radica no solo en que es certera sino además en que es la primera vez que la veo por escrito – al menos enunciada con esta claridad- Con ello la comunicación deja de ser un instrumento para convertirse en una perspectiva, un punto de vista constructivo desde el que observar la realidad social. En sus propias palabras: “… se puede llegar a un nivel de teoría general que permita construir todo fenómeno posible desde un espacio conceptual de la comunicación.” </w:t>
            </w:r>
            <w:r w:rsidRPr="00510AAB">
              <w:rPr>
                <w:lang w:val="es-EC"/>
              </w:rPr>
              <w:br/>
              <w:t> </w:t>
            </w:r>
          </w:p>
          <w:p w14:paraId="3BD5FFD6" w14:textId="22A4AEDF" w:rsidR="00510AAB" w:rsidRDefault="00510AAB" w:rsidP="00510AAB">
            <w:pPr>
              <w:spacing w:line="276" w:lineRule="auto"/>
              <w:jc w:val="both"/>
              <w:rPr>
                <w:lang w:val="es-EC"/>
              </w:rPr>
            </w:pPr>
            <w:r w:rsidRPr="00510AAB">
              <w:rPr>
                <w:lang w:val="es-EC"/>
              </w:rPr>
              <w:t>Desde esa mirada comunicológica, sistémica y constructivista Galindo plantea una metodología en dos grandes Fases: (I) Diagnostico de problemas y (II) Diseño de soluciones. A su vez estas dos grandes Fases se subdividen en diferentes operaciones hasta completar la guía sobre la cual se trabaja.</w:t>
            </w:r>
          </w:p>
          <w:p w14:paraId="22D56918" w14:textId="77777777" w:rsidR="00D94038" w:rsidRDefault="00D94038" w:rsidP="00510AAB">
            <w:pPr>
              <w:spacing w:line="276" w:lineRule="auto"/>
              <w:jc w:val="both"/>
              <w:rPr>
                <w:lang w:val="es-EC"/>
              </w:rPr>
            </w:pPr>
          </w:p>
          <w:p w14:paraId="33D550C9" w14:textId="0AB9D5A8" w:rsidR="00D94038" w:rsidRDefault="00D94038" w:rsidP="00510AAB">
            <w:pPr>
              <w:spacing w:line="276" w:lineRule="auto"/>
              <w:jc w:val="both"/>
              <w:rPr>
                <w:b/>
                <w:bCs/>
              </w:rPr>
            </w:pPr>
            <w:r w:rsidRPr="00D94038">
              <w:rPr>
                <w:b/>
                <w:bCs/>
              </w:rPr>
              <w:t>¿Quién es Jesús Galindo Cáceres?</w:t>
            </w:r>
          </w:p>
          <w:p w14:paraId="1646512B" w14:textId="77777777" w:rsidR="00D94038" w:rsidRPr="00510AAB" w:rsidRDefault="00D94038" w:rsidP="00510AAB">
            <w:pPr>
              <w:spacing w:line="276" w:lineRule="auto"/>
              <w:jc w:val="both"/>
              <w:rPr>
                <w:b/>
                <w:bCs/>
                <w:lang w:val="es-EC"/>
              </w:rPr>
            </w:pPr>
          </w:p>
          <w:p w14:paraId="7C0E3C26" w14:textId="77777777" w:rsidR="00D94038" w:rsidRDefault="00D94038" w:rsidP="00D828FD">
            <w:pPr>
              <w:spacing w:line="276" w:lineRule="auto"/>
              <w:jc w:val="both"/>
              <w:rPr>
                <w:color w:val="000000" w:themeColor="text1"/>
                <w:u w:color="FFFFFF" w:themeColor="background1"/>
              </w:rPr>
            </w:pPr>
            <w:r w:rsidRPr="00D94038">
              <w:rPr>
                <w:color w:val="000000" w:themeColor="text1"/>
                <w:u w:color="FFFFFF" w:themeColor="background1"/>
              </w:rPr>
              <w:t xml:space="preserve">Mexicano. Dr. en Ciencias Sociales; maestro en Lingüística y licenciado en Comunicación. Docente e investigador. Autor de 31 libros y más de trescientos artículos académicos publicados en catorce </w:t>
            </w:r>
            <w:r w:rsidRPr="00D94038">
              <w:rPr>
                <w:color w:val="000000" w:themeColor="text1"/>
                <w:u w:color="FFFFFF" w:themeColor="background1"/>
              </w:rPr>
              <w:lastRenderedPageBreak/>
              <w:t>países de América y Europa. </w:t>
            </w:r>
            <w:hyperlink r:id="rId7" w:tgtFrame="_blank" w:history="1">
              <w:r w:rsidRPr="00D94038">
                <w:rPr>
                  <w:rStyle w:val="Hipervnculo"/>
                  <w:b/>
                  <w:bCs/>
                  <w:color w:val="000000" w:themeColor="text1"/>
                  <w:u w:color="FFFFFF" w:themeColor="background1"/>
                </w:rPr>
                <w:t>Promotor de la red de estudios en teoría de la comunicación (REDECOM) y del Grupo hacia una Comunicología posible (GUCOM)</w:t>
              </w:r>
            </w:hyperlink>
            <w:r w:rsidRPr="00D94038">
              <w:rPr>
                <w:color w:val="000000" w:themeColor="text1"/>
                <w:u w:color="FFFFFF" w:themeColor="background1"/>
              </w:rPr>
              <w:t> ; Miembro del Foro Iberoamericano Sobre Estrategias de Comunicación (FISEC) y del CINTE (Cátedra itinerante de la Nueva Teoría Estratégica).</w:t>
            </w:r>
          </w:p>
          <w:p w14:paraId="02DD19E2" w14:textId="77777777" w:rsidR="00D94038" w:rsidRDefault="00D94038" w:rsidP="00D828FD">
            <w:pPr>
              <w:spacing w:line="276" w:lineRule="auto"/>
              <w:jc w:val="both"/>
              <w:rPr>
                <w:color w:val="000000" w:themeColor="text1"/>
                <w:u w:color="FFFFFF" w:themeColor="background1"/>
              </w:rPr>
            </w:pPr>
            <w:r w:rsidRPr="00D94038">
              <w:rPr>
                <w:color w:val="000000" w:themeColor="text1"/>
                <w:u w:color="FFFFFF" w:themeColor="background1"/>
              </w:rPr>
              <w:t> </w:t>
            </w:r>
            <w:r>
              <w:rPr>
                <w:noProof/>
              </w:rPr>
              <w:drawing>
                <wp:inline distT="0" distB="0" distL="0" distR="0" wp14:anchorId="126B0574" wp14:editId="2EBCE498">
                  <wp:extent cx="2933700" cy="2200275"/>
                  <wp:effectExtent l="0" t="0" r="0" b="9525"/>
                  <wp:docPr id="2" name="Imagen 2" descr="Ingeniería en Comunicación Social Hacia un programa gen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geniería en Comunicación Social Hacia un programa gener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33700" cy="2200275"/>
                          </a:xfrm>
                          <a:prstGeom prst="rect">
                            <a:avLst/>
                          </a:prstGeom>
                          <a:noFill/>
                          <a:ln>
                            <a:noFill/>
                          </a:ln>
                        </pic:spPr>
                      </pic:pic>
                    </a:graphicData>
                  </a:graphic>
                </wp:inline>
              </w:drawing>
            </w:r>
          </w:p>
          <w:p w14:paraId="091F70BC" w14:textId="77777777" w:rsidR="00D94038" w:rsidRDefault="00D94038" w:rsidP="00D828FD">
            <w:pPr>
              <w:spacing w:line="276" w:lineRule="auto"/>
              <w:jc w:val="both"/>
              <w:rPr>
                <w:u w:color="FFFFFF" w:themeColor="background1"/>
              </w:rPr>
            </w:pPr>
          </w:p>
          <w:p w14:paraId="1F5377B6" w14:textId="77777777" w:rsidR="00D94038" w:rsidRDefault="00D94038" w:rsidP="00D828FD">
            <w:pPr>
              <w:spacing w:line="276" w:lineRule="auto"/>
              <w:jc w:val="both"/>
              <w:rPr>
                <w:b/>
                <w:bCs/>
                <w:u w:color="FFFFFF" w:themeColor="background1"/>
              </w:rPr>
            </w:pPr>
            <w:r>
              <w:rPr>
                <w:b/>
                <w:bCs/>
                <w:u w:color="FFFFFF" w:themeColor="background1"/>
              </w:rPr>
              <w:t>El principio de Heisenberg.</w:t>
            </w:r>
          </w:p>
          <w:p w14:paraId="74CA0190" w14:textId="77777777" w:rsidR="00D94038" w:rsidRDefault="00D94038" w:rsidP="00D828FD">
            <w:pPr>
              <w:spacing w:line="276" w:lineRule="auto"/>
              <w:jc w:val="both"/>
              <w:rPr>
                <w:u w:color="FFFFFF" w:themeColor="background1"/>
              </w:rPr>
            </w:pPr>
            <w:r w:rsidRPr="00D94038">
              <w:rPr>
                <w:u w:color="FFFFFF" w:themeColor="background1"/>
              </w:rPr>
              <w:t>El </w:t>
            </w:r>
            <w:r w:rsidRPr="00D94038">
              <w:rPr>
                <w:b/>
                <w:bCs/>
                <w:u w:color="FFFFFF" w:themeColor="background1"/>
              </w:rPr>
              <w:t>Principio de Incertidumbre</w:t>
            </w:r>
            <w:r w:rsidRPr="00D94038">
              <w:rPr>
                <w:u w:color="FFFFFF" w:themeColor="background1"/>
              </w:rPr>
              <w:t>, o </w:t>
            </w:r>
            <w:r w:rsidRPr="00D94038">
              <w:rPr>
                <w:b/>
                <w:bCs/>
                <w:u w:color="FFFFFF" w:themeColor="background1"/>
              </w:rPr>
              <w:t>Principio de Indeterminación</w:t>
            </w:r>
            <w:r w:rsidRPr="00D94038">
              <w:rPr>
                <w:u w:color="FFFFFF" w:themeColor="background1"/>
              </w:rPr>
              <w:t> fue formulado por una de las más importantes figuras de la física cuántica: </w:t>
            </w:r>
            <w:r w:rsidRPr="00D94038">
              <w:rPr>
                <w:b/>
                <w:bCs/>
                <w:u w:color="FFFFFF" w:themeColor="background1"/>
              </w:rPr>
              <w:t>Werner Heisenberg</w:t>
            </w:r>
            <w:r w:rsidRPr="00D94038">
              <w:rPr>
                <w:u w:color="FFFFFF" w:themeColor="background1"/>
              </w:rPr>
              <w:t>.</w:t>
            </w:r>
          </w:p>
          <w:p w14:paraId="73DC76B5" w14:textId="77777777" w:rsidR="00D94038" w:rsidRPr="00D94038" w:rsidRDefault="00D94038" w:rsidP="00D94038">
            <w:pPr>
              <w:spacing w:line="276" w:lineRule="auto"/>
              <w:jc w:val="both"/>
              <w:rPr>
                <w:u w:color="FFFFFF" w:themeColor="background1"/>
                <w:lang w:val="es-EC"/>
              </w:rPr>
            </w:pPr>
            <w:r w:rsidRPr="00D94038">
              <w:rPr>
                <w:u w:color="FFFFFF" w:themeColor="background1"/>
                <w:lang w:val="es-EC"/>
              </w:rPr>
              <w:t>Según esta teoría, </w:t>
            </w:r>
            <w:r w:rsidRPr="00D94038">
              <w:rPr>
                <w:b/>
                <w:bCs/>
                <w:u w:color="FFFFFF" w:themeColor="background1"/>
                <w:lang w:val="es-EC"/>
              </w:rPr>
              <w:t>es imposible medir simultáneamente, y con una precisión absoluta, el valor de la posición y la cantidad de movimiento de una partícula determinada</w:t>
            </w:r>
            <w:r w:rsidRPr="00D94038">
              <w:rPr>
                <w:u w:color="FFFFFF" w:themeColor="background1"/>
                <w:lang w:val="es-EC"/>
              </w:rPr>
              <w:t>. La incertidumbre derivada de esta apreciación no corresponde al instrumento de medida, sino al propio hecho de pretender tomar dichas medidas.</w:t>
            </w:r>
          </w:p>
          <w:p w14:paraId="6BC2EB99" w14:textId="77777777" w:rsidR="00D94038" w:rsidRPr="00D94038" w:rsidRDefault="00D94038" w:rsidP="00D94038">
            <w:pPr>
              <w:spacing w:line="276" w:lineRule="auto"/>
              <w:jc w:val="both"/>
              <w:rPr>
                <w:u w:color="FFFFFF" w:themeColor="background1"/>
                <w:lang w:val="es-EC"/>
              </w:rPr>
            </w:pPr>
            <w:r w:rsidRPr="00D94038">
              <w:rPr>
                <w:u w:color="FFFFFF" w:themeColor="background1"/>
                <w:lang w:val="es-EC"/>
              </w:rPr>
              <w:t>Incluso empleando los instrumentos más precisos y exactos jamás imaginados, el principio de incertidumbre se mantiene estable y vigente.</w:t>
            </w:r>
          </w:p>
          <w:p w14:paraId="2FD53183" w14:textId="77777777" w:rsidR="00D94038" w:rsidRPr="00D94038" w:rsidRDefault="00D94038" w:rsidP="00D94038">
            <w:pPr>
              <w:spacing w:line="276" w:lineRule="auto"/>
              <w:jc w:val="both"/>
              <w:rPr>
                <w:u w:color="FFFFFF" w:themeColor="background1"/>
                <w:lang w:val="es-EC"/>
              </w:rPr>
            </w:pPr>
            <w:r w:rsidRPr="00D94038">
              <w:rPr>
                <w:b/>
                <w:bCs/>
                <w:u w:color="FFFFFF" w:themeColor="background1"/>
                <w:lang w:val="es-EC"/>
              </w:rPr>
              <w:t>Así, cuanto mayor es la precisión en la medida de una de las magnitudes, mayor es la incertidumbre derivada en la otra variable complementaria.</w:t>
            </w:r>
          </w:p>
          <w:p w14:paraId="538FD1FE" w14:textId="4C4E5970" w:rsidR="009F146D" w:rsidRPr="00D94038" w:rsidRDefault="00E51AE4" w:rsidP="00D828FD">
            <w:pPr>
              <w:spacing w:line="276" w:lineRule="auto"/>
              <w:jc w:val="both"/>
              <w:rPr>
                <w:u w:color="FFFFFF" w:themeColor="background1"/>
              </w:rPr>
            </w:pPr>
            <w:bookmarkStart w:id="0" w:name="_GoBack"/>
            <w:bookmarkEnd w:id="0"/>
            <w:r w:rsidRPr="00D94038">
              <w:rPr>
                <w:u w:color="FFFFFF" w:themeColor="background1"/>
              </w:rPr>
              <w:br/>
              <w:t> </w:t>
            </w:r>
          </w:p>
        </w:tc>
      </w:tr>
    </w:tbl>
    <w:p w14:paraId="011434A1" w14:textId="77777777" w:rsidR="00862485" w:rsidRDefault="00862485"/>
    <w:sectPr w:rsidR="0086248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36297A"/>
    <w:multiLevelType w:val="multilevel"/>
    <w:tmpl w:val="E2CEB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85D"/>
    <w:rsid w:val="00147EB1"/>
    <w:rsid w:val="0019030F"/>
    <w:rsid w:val="001E285D"/>
    <w:rsid w:val="001E3020"/>
    <w:rsid w:val="00242B2A"/>
    <w:rsid w:val="00266F25"/>
    <w:rsid w:val="00277132"/>
    <w:rsid w:val="002E78D8"/>
    <w:rsid w:val="00334FCB"/>
    <w:rsid w:val="003418C5"/>
    <w:rsid w:val="00353049"/>
    <w:rsid w:val="004B4997"/>
    <w:rsid w:val="004F3695"/>
    <w:rsid w:val="00502B8F"/>
    <w:rsid w:val="00510AAB"/>
    <w:rsid w:val="00593E87"/>
    <w:rsid w:val="005B7514"/>
    <w:rsid w:val="00601086"/>
    <w:rsid w:val="006B3941"/>
    <w:rsid w:val="006B54CC"/>
    <w:rsid w:val="006E19DE"/>
    <w:rsid w:val="006E2369"/>
    <w:rsid w:val="006F05D0"/>
    <w:rsid w:val="0076316F"/>
    <w:rsid w:val="00862485"/>
    <w:rsid w:val="00875F9B"/>
    <w:rsid w:val="008D0B73"/>
    <w:rsid w:val="008D3618"/>
    <w:rsid w:val="00945026"/>
    <w:rsid w:val="009679AA"/>
    <w:rsid w:val="00987C3C"/>
    <w:rsid w:val="009F146D"/>
    <w:rsid w:val="00A21839"/>
    <w:rsid w:val="00A56F44"/>
    <w:rsid w:val="00AD5700"/>
    <w:rsid w:val="00B00442"/>
    <w:rsid w:val="00B72D45"/>
    <w:rsid w:val="00B807B5"/>
    <w:rsid w:val="00B9399B"/>
    <w:rsid w:val="00BC4256"/>
    <w:rsid w:val="00BF4491"/>
    <w:rsid w:val="00C765E8"/>
    <w:rsid w:val="00C81666"/>
    <w:rsid w:val="00D828FD"/>
    <w:rsid w:val="00D857FA"/>
    <w:rsid w:val="00D94038"/>
    <w:rsid w:val="00E51AE4"/>
    <w:rsid w:val="00E55620"/>
    <w:rsid w:val="00EA778C"/>
    <w:rsid w:val="00F155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D2D2B"/>
  <w15:chartTrackingRefBased/>
  <w15:docId w15:val="{4FF4DFE6-042B-499B-9CB0-A70BE981A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E28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02B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02B8F"/>
    <w:rPr>
      <w:rFonts w:ascii="Segoe UI" w:hAnsi="Segoe UI" w:cs="Segoe UI"/>
      <w:sz w:val="18"/>
      <w:szCs w:val="18"/>
    </w:rPr>
  </w:style>
  <w:style w:type="paragraph" w:styleId="NormalWeb">
    <w:name w:val="Normal (Web)"/>
    <w:basedOn w:val="Normal"/>
    <w:uiPriority w:val="99"/>
    <w:semiHidden/>
    <w:unhideWhenUsed/>
    <w:rsid w:val="006B54CC"/>
  </w:style>
  <w:style w:type="character" w:styleId="Hipervnculo">
    <w:name w:val="Hyperlink"/>
    <w:basedOn w:val="Fuentedeprrafopredeter"/>
    <w:uiPriority w:val="99"/>
    <w:unhideWhenUsed/>
    <w:rsid w:val="00510AAB"/>
    <w:rPr>
      <w:color w:val="0563C1" w:themeColor="hyperlink"/>
      <w:u w:val="single"/>
    </w:rPr>
  </w:style>
  <w:style w:type="character" w:styleId="Mencinsinresolver">
    <w:name w:val="Unresolved Mention"/>
    <w:basedOn w:val="Fuentedeprrafopredeter"/>
    <w:uiPriority w:val="99"/>
    <w:semiHidden/>
    <w:unhideWhenUsed/>
    <w:rsid w:val="00510A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04615">
      <w:bodyDiv w:val="1"/>
      <w:marLeft w:val="0"/>
      <w:marRight w:val="0"/>
      <w:marTop w:val="0"/>
      <w:marBottom w:val="0"/>
      <w:divBdr>
        <w:top w:val="none" w:sz="0" w:space="0" w:color="auto"/>
        <w:left w:val="none" w:sz="0" w:space="0" w:color="auto"/>
        <w:bottom w:val="none" w:sz="0" w:space="0" w:color="auto"/>
        <w:right w:val="none" w:sz="0" w:space="0" w:color="auto"/>
      </w:divBdr>
    </w:div>
    <w:div w:id="1004894287">
      <w:bodyDiv w:val="1"/>
      <w:marLeft w:val="0"/>
      <w:marRight w:val="0"/>
      <w:marTop w:val="0"/>
      <w:marBottom w:val="0"/>
      <w:divBdr>
        <w:top w:val="none" w:sz="0" w:space="0" w:color="auto"/>
        <w:left w:val="none" w:sz="0" w:space="0" w:color="auto"/>
        <w:bottom w:val="none" w:sz="0" w:space="0" w:color="auto"/>
        <w:right w:val="none" w:sz="0" w:space="0" w:color="auto"/>
      </w:divBdr>
    </w:div>
    <w:div w:id="1034160853">
      <w:bodyDiv w:val="1"/>
      <w:marLeft w:val="0"/>
      <w:marRight w:val="0"/>
      <w:marTop w:val="0"/>
      <w:marBottom w:val="0"/>
      <w:divBdr>
        <w:top w:val="none" w:sz="0" w:space="0" w:color="auto"/>
        <w:left w:val="none" w:sz="0" w:space="0" w:color="auto"/>
        <w:bottom w:val="none" w:sz="0" w:space="0" w:color="auto"/>
        <w:right w:val="none" w:sz="0" w:space="0" w:color="auto"/>
      </w:divBdr>
    </w:div>
    <w:div w:id="213694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razonypalabra.org.mx/N/n66/actual/presentacion.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azonypalabra.org.mx/libros/libros/IngenieriaComunicacionSocialyFamilia.pdf" TargetMode="External"/><Relationship Id="rId5" Type="http://schemas.openxmlformats.org/officeDocument/2006/relationships/hyperlink" Target="http://www.cadec.edu.mx/cadec/Blog_maestros/Entries/2013/2/15_Dr._Jesus_Galindo_Caceres.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628</Words>
  <Characters>3456</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JOSE ANDRES YAMBAY DAMIAN</cp:lastModifiedBy>
  <cp:revision>2</cp:revision>
  <dcterms:created xsi:type="dcterms:W3CDTF">2019-10-06T13:53:00Z</dcterms:created>
  <dcterms:modified xsi:type="dcterms:W3CDTF">2019-10-06T13:53:00Z</dcterms:modified>
</cp:coreProperties>
</file>