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C83" w:rsidRPr="000D7C83" w:rsidRDefault="000D7C83" w:rsidP="000D7C83">
      <w:pPr>
        <w:spacing w:line="360" w:lineRule="auto"/>
        <w:jc w:val="center"/>
        <w:rPr>
          <w:rFonts w:ascii="Times New Roman" w:hAnsi="Times New Roman" w:cs="Times New Roman"/>
          <w:sz w:val="24"/>
          <w:lang w:val="es-ES"/>
        </w:rPr>
      </w:pPr>
      <w:r w:rsidRPr="000D7C83">
        <w:rPr>
          <w:rFonts w:ascii="Times New Roman" w:hAnsi="Times New Roman" w:cs="Times New Roman"/>
          <w:sz w:val="24"/>
          <w:lang w:val="es-ES"/>
        </w:rPr>
        <w:t>UNIVERSIDAD CENTRAL DEL ECUADOR</w:t>
      </w:r>
    </w:p>
    <w:p w:rsidR="000D7C83" w:rsidRPr="000D7C83" w:rsidRDefault="000D7C83" w:rsidP="000D7C83">
      <w:pPr>
        <w:spacing w:line="360" w:lineRule="auto"/>
        <w:jc w:val="center"/>
        <w:rPr>
          <w:rFonts w:ascii="Times New Roman" w:hAnsi="Times New Roman" w:cs="Times New Roman"/>
          <w:sz w:val="24"/>
          <w:lang w:val="es-ES"/>
        </w:rPr>
      </w:pPr>
      <w:r w:rsidRPr="000D7C83">
        <w:rPr>
          <w:rFonts w:ascii="Times New Roman" w:hAnsi="Times New Roman" w:cs="Times New Roman"/>
          <w:sz w:val="24"/>
          <w:lang w:val="es-ES"/>
        </w:rPr>
        <w:t>FACULTAD DE COMUNICACIÓN SOCIAL</w:t>
      </w:r>
    </w:p>
    <w:p w:rsidR="000D7C83" w:rsidRPr="000D7C83" w:rsidRDefault="000D7C83" w:rsidP="000D7C83">
      <w:pPr>
        <w:spacing w:line="360" w:lineRule="auto"/>
        <w:rPr>
          <w:rFonts w:ascii="Times New Roman" w:hAnsi="Times New Roman" w:cs="Times New Roman"/>
          <w:sz w:val="24"/>
          <w:lang w:val="es-ES"/>
        </w:rPr>
      </w:pPr>
      <w:r w:rsidRPr="000D7C83">
        <w:rPr>
          <w:rFonts w:ascii="Times New Roman" w:hAnsi="Times New Roman" w:cs="Times New Roman"/>
          <w:sz w:val="24"/>
          <w:lang w:val="es-ES"/>
        </w:rPr>
        <w:t xml:space="preserve">Nombre: Alejandra Parra                                     </w:t>
      </w:r>
      <w:r>
        <w:rPr>
          <w:rFonts w:ascii="Times New Roman" w:hAnsi="Times New Roman" w:cs="Times New Roman"/>
          <w:sz w:val="24"/>
          <w:lang w:val="es-ES"/>
        </w:rPr>
        <w:t xml:space="preserve">                    Fecha: </w:t>
      </w:r>
      <w:r w:rsidRPr="000D7C83">
        <w:rPr>
          <w:rFonts w:ascii="Times New Roman" w:hAnsi="Times New Roman" w:cs="Times New Roman"/>
          <w:sz w:val="24"/>
          <w:lang w:val="es-ES"/>
        </w:rPr>
        <w:t>0</w:t>
      </w:r>
      <w:r>
        <w:rPr>
          <w:rFonts w:ascii="Times New Roman" w:hAnsi="Times New Roman" w:cs="Times New Roman"/>
          <w:sz w:val="24"/>
          <w:lang w:val="es-ES"/>
        </w:rPr>
        <w:t>6/01</w:t>
      </w:r>
      <w:r w:rsidRPr="000D7C83">
        <w:rPr>
          <w:rFonts w:ascii="Times New Roman" w:hAnsi="Times New Roman" w:cs="Times New Roman"/>
          <w:sz w:val="24"/>
          <w:lang w:val="es-ES"/>
        </w:rPr>
        <w:t>/20</w:t>
      </w:r>
      <w:r>
        <w:rPr>
          <w:rFonts w:ascii="Times New Roman" w:hAnsi="Times New Roman" w:cs="Times New Roman"/>
          <w:sz w:val="24"/>
          <w:lang w:val="es-ES"/>
        </w:rPr>
        <w:t>20</w:t>
      </w:r>
    </w:p>
    <w:p w:rsidR="000D7C83" w:rsidRPr="000D7C83" w:rsidRDefault="000D7C83" w:rsidP="000D7C83">
      <w:pPr>
        <w:spacing w:line="360" w:lineRule="auto"/>
        <w:rPr>
          <w:rFonts w:ascii="Times New Roman" w:hAnsi="Times New Roman" w:cs="Times New Roman"/>
          <w:sz w:val="24"/>
          <w:lang w:val="es-ES"/>
        </w:rPr>
      </w:pPr>
      <w:r w:rsidRPr="000D7C83">
        <w:rPr>
          <w:rFonts w:ascii="Times New Roman" w:hAnsi="Times New Roman" w:cs="Times New Roman"/>
          <w:sz w:val="24"/>
          <w:lang w:val="es-ES"/>
        </w:rPr>
        <w:t>Curso: Sexto                                                                             Paralelo: “A”</w:t>
      </w:r>
    </w:p>
    <w:p w:rsidR="000D7C83" w:rsidRPr="000D7C83" w:rsidRDefault="000D7C83" w:rsidP="000D7C83">
      <w:pPr>
        <w:spacing w:line="360" w:lineRule="auto"/>
        <w:rPr>
          <w:rFonts w:ascii="Times New Roman" w:hAnsi="Times New Roman" w:cs="Times New Roman"/>
          <w:sz w:val="24"/>
          <w:lang w:val="es-ES"/>
        </w:rPr>
      </w:pPr>
      <w:r w:rsidRPr="000D7C83">
        <w:rPr>
          <w:rFonts w:ascii="Times New Roman" w:hAnsi="Times New Roman" w:cs="Times New Roman"/>
          <w:sz w:val="24"/>
          <w:lang w:val="es-ES"/>
        </w:rPr>
        <w:t>Tema.-</w:t>
      </w:r>
    </w:p>
    <w:p w:rsidR="000D7C83" w:rsidRDefault="000D7C83" w:rsidP="000D7C83">
      <w:pPr>
        <w:spacing w:line="360" w:lineRule="auto"/>
        <w:jc w:val="center"/>
        <w:rPr>
          <w:rFonts w:ascii="Arial" w:hAnsi="Arial" w:cs="Arial"/>
          <w:b/>
          <w:lang w:val="es-ES"/>
        </w:rPr>
      </w:pPr>
      <w:r>
        <w:rPr>
          <w:rFonts w:ascii="Arial" w:hAnsi="Arial" w:cs="Arial"/>
          <w:b/>
          <w:lang w:val="es-ES"/>
        </w:rPr>
        <w:t>Ensayo de los temas vistos en clase</w:t>
      </w:r>
    </w:p>
    <w:p w:rsidR="00BF4F47" w:rsidRDefault="000D7C83" w:rsidP="00CE6765">
      <w:pPr>
        <w:spacing w:line="360" w:lineRule="auto"/>
        <w:rPr>
          <w:rFonts w:ascii="Times New Roman" w:hAnsi="Times New Roman" w:cs="Times New Roman"/>
          <w:sz w:val="24"/>
          <w:lang w:val="es-ES"/>
        </w:rPr>
      </w:pPr>
      <w:r>
        <w:rPr>
          <w:rFonts w:ascii="Times New Roman" w:hAnsi="Times New Roman" w:cs="Times New Roman"/>
          <w:b/>
          <w:sz w:val="24"/>
          <w:lang w:val="es-ES"/>
        </w:rPr>
        <w:t xml:space="preserve">     </w:t>
      </w:r>
      <w:r w:rsidR="00E12CD6" w:rsidRPr="00E12CD6">
        <w:rPr>
          <w:rFonts w:ascii="Times New Roman" w:hAnsi="Times New Roman" w:cs="Times New Roman"/>
          <w:sz w:val="24"/>
          <w:lang w:val="es-ES"/>
        </w:rPr>
        <w:t>Si bien la co</w:t>
      </w:r>
      <w:r w:rsidR="00E12CD6">
        <w:rPr>
          <w:rFonts w:ascii="Times New Roman" w:hAnsi="Times New Roman" w:cs="Times New Roman"/>
          <w:sz w:val="24"/>
          <w:lang w:val="es-ES"/>
        </w:rPr>
        <w:t xml:space="preserve">municación es un proceso </w:t>
      </w:r>
      <w:r w:rsidR="00E12CD6" w:rsidRPr="00E12CD6">
        <w:rPr>
          <w:rFonts w:ascii="Times New Roman" w:hAnsi="Times New Roman" w:cs="Times New Roman"/>
          <w:sz w:val="24"/>
          <w:lang w:val="es-ES"/>
        </w:rPr>
        <w:t xml:space="preserve">de </w:t>
      </w:r>
      <w:r w:rsidR="00E12CD6">
        <w:rPr>
          <w:rFonts w:ascii="Times New Roman" w:hAnsi="Times New Roman" w:cs="Times New Roman"/>
          <w:sz w:val="24"/>
          <w:lang w:val="es-ES"/>
        </w:rPr>
        <w:t xml:space="preserve">complejo </w:t>
      </w:r>
      <w:r w:rsidR="00E12CD6" w:rsidRPr="00E12CD6">
        <w:rPr>
          <w:rFonts w:ascii="Times New Roman" w:hAnsi="Times New Roman" w:cs="Times New Roman"/>
          <w:sz w:val="24"/>
          <w:lang w:val="es-ES"/>
        </w:rPr>
        <w:t xml:space="preserve">análisis </w:t>
      </w:r>
      <w:r w:rsidR="00E12CD6">
        <w:rPr>
          <w:rFonts w:ascii="Times New Roman" w:hAnsi="Times New Roman" w:cs="Times New Roman"/>
          <w:sz w:val="24"/>
          <w:lang w:val="es-ES"/>
        </w:rPr>
        <w:t>para las relaciones entre lo</w:t>
      </w:r>
      <w:r w:rsidR="00BF4F47">
        <w:rPr>
          <w:rFonts w:ascii="Times New Roman" w:hAnsi="Times New Roman" w:cs="Times New Roman"/>
          <w:sz w:val="24"/>
          <w:lang w:val="es-ES"/>
        </w:rPr>
        <w:t>s</w:t>
      </w:r>
      <w:r w:rsidR="00E12CD6">
        <w:rPr>
          <w:rFonts w:ascii="Times New Roman" w:hAnsi="Times New Roman" w:cs="Times New Roman"/>
          <w:sz w:val="24"/>
          <w:lang w:val="es-ES"/>
        </w:rPr>
        <w:t xml:space="preserve"> seres, no se la puede limitar </w:t>
      </w:r>
      <w:r w:rsidR="00CE6765">
        <w:rPr>
          <w:rFonts w:ascii="Times New Roman" w:hAnsi="Times New Roman" w:cs="Times New Roman"/>
          <w:sz w:val="24"/>
          <w:lang w:val="es-ES"/>
        </w:rPr>
        <w:t>únicamente a este</w:t>
      </w:r>
      <w:r w:rsidR="00BF4F47">
        <w:rPr>
          <w:rFonts w:ascii="Times New Roman" w:hAnsi="Times New Roman" w:cs="Times New Roman"/>
          <w:sz w:val="24"/>
          <w:lang w:val="es-ES"/>
        </w:rPr>
        <w:t xml:space="preserve"> concepto sino que se debe tener en cuenta que su campo interdisciplinario permite que la comunicación se vea atravesada en más de una materia. Así mismo, las actuales generaciones no pueden ser estudiadas desde un enfoque apartado a la tecnología y sus nuevos usos pues las plataformas han conquistado espacios cada vez más amplios hasta llegar a ser parte de la cotidianeidad misma. </w:t>
      </w:r>
      <w:r w:rsidR="00CE6765">
        <w:rPr>
          <w:rFonts w:ascii="Times New Roman" w:hAnsi="Times New Roman" w:cs="Times New Roman"/>
          <w:sz w:val="24"/>
          <w:lang w:val="es-ES"/>
        </w:rPr>
        <w:t>Para ello, el presente ensayo abordará el enfoque político-económico: d</w:t>
      </w:r>
      <w:r w:rsidR="00CE6765" w:rsidRPr="00CE6765">
        <w:rPr>
          <w:rFonts w:ascii="Times New Roman" w:hAnsi="Times New Roman" w:cs="Times New Roman"/>
          <w:sz w:val="24"/>
          <w:lang w:val="es-ES"/>
        </w:rPr>
        <w:t>e la información a la comunicación</w:t>
      </w:r>
      <w:r w:rsidR="00CE6765">
        <w:rPr>
          <w:rFonts w:ascii="Times New Roman" w:hAnsi="Times New Roman" w:cs="Times New Roman"/>
          <w:sz w:val="24"/>
          <w:lang w:val="es-ES"/>
        </w:rPr>
        <w:t xml:space="preserve"> y desde la g</w:t>
      </w:r>
      <w:r w:rsidR="00CE6765" w:rsidRPr="00CE6765">
        <w:rPr>
          <w:rFonts w:ascii="Times New Roman" w:hAnsi="Times New Roman" w:cs="Times New Roman"/>
          <w:sz w:val="24"/>
          <w:lang w:val="es-ES"/>
        </w:rPr>
        <w:t>estión de intangibles en las nuevas teorías de la competitividad</w:t>
      </w:r>
      <w:r w:rsidR="00CE6765">
        <w:rPr>
          <w:rFonts w:ascii="Times New Roman" w:hAnsi="Times New Roman" w:cs="Times New Roman"/>
          <w:sz w:val="24"/>
          <w:lang w:val="es-ES"/>
        </w:rPr>
        <w:t xml:space="preserve">. </w:t>
      </w:r>
    </w:p>
    <w:p w:rsidR="00CE6765" w:rsidRDefault="00CE6765" w:rsidP="00CE6765">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Para iniciar, es necesario tener claro que la importancia de los actuales estudios recae en olvidar los paradigmas que han envuelto a la tecnología y a su vez, abrir el horizonte de su análisis en las nuevas y efervescentes interacciones que las mismas proporcionan. Por ende, la información es un recurso valioso al momento de un análisis comunicacional pues permite escoger la mejor opción para obtener los resultados deseados. La comunicación es un juego de elecciones pues de ella depende el éxito o fracaso de una empresa y, como se mencionó anteriormente, guarda afinidad en otros campos como lo es la economía. En economía la información es tratada como datos, cuya adquisición es costosa.</w:t>
      </w:r>
    </w:p>
    <w:p w:rsidR="00CE6765" w:rsidRDefault="00CE6765" w:rsidP="00CE6765">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Así mismo los datos (información) conducen a los intangibles que son activos de naturaleza inmaterial y que </w:t>
      </w:r>
      <w:r w:rsidRPr="00CE6765">
        <w:rPr>
          <w:rFonts w:ascii="Times New Roman" w:hAnsi="Times New Roman" w:cs="Times New Roman"/>
          <w:sz w:val="24"/>
          <w:lang w:val="es-ES"/>
        </w:rPr>
        <w:t>posee</w:t>
      </w:r>
      <w:r>
        <w:rPr>
          <w:rFonts w:ascii="Times New Roman" w:hAnsi="Times New Roman" w:cs="Times New Roman"/>
          <w:sz w:val="24"/>
          <w:lang w:val="es-ES"/>
        </w:rPr>
        <w:t>n</w:t>
      </w:r>
      <w:r w:rsidRPr="00CE6765">
        <w:rPr>
          <w:rFonts w:ascii="Times New Roman" w:hAnsi="Times New Roman" w:cs="Times New Roman"/>
          <w:sz w:val="24"/>
          <w:lang w:val="es-ES"/>
        </w:rPr>
        <w:t xml:space="preserve"> la capacidad de generar beneficios económico</w:t>
      </w:r>
      <w:r>
        <w:rPr>
          <w:rFonts w:ascii="Times New Roman" w:hAnsi="Times New Roman" w:cs="Times New Roman"/>
          <w:sz w:val="24"/>
          <w:lang w:val="es-ES"/>
        </w:rPr>
        <w:t>s futuros</w:t>
      </w:r>
      <w:r>
        <w:rPr>
          <w:rStyle w:val="Refdenotaalpie"/>
          <w:rFonts w:ascii="Times New Roman" w:hAnsi="Times New Roman" w:cs="Times New Roman"/>
          <w:sz w:val="24"/>
          <w:lang w:val="es-ES"/>
        </w:rPr>
        <w:footnoteReference w:id="1"/>
      </w:r>
      <w:r>
        <w:rPr>
          <w:rFonts w:ascii="Times New Roman" w:hAnsi="Times New Roman" w:cs="Times New Roman"/>
          <w:sz w:val="24"/>
          <w:lang w:val="es-ES"/>
        </w:rPr>
        <w:t xml:space="preserve">. Un intangible es primordial para una entidad pues al </w:t>
      </w:r>
      <w:r w:rsidRPr="00CE6765">
        <w:rPr>
          <w:rFonts w:ascii="Times New Roman" w:hAnsi="Times New Roman" w:cs="Times New Roman"/>
          <w:sz w:val="24"/>
          <w:lang w:val="es-ES"/>
        </w:rPr>
        <w:t>no p</w:t>
      </w:r>
      <w:r>
        <w:rPr>
          <w:rFonts w:ascii="Times New Roman" w:hAnsi="Times New Roman" w:cs="Times New Roman"/>
          <w:sz w:val="24"/>
          <w:lang w:val="es-ES"/>
        </w:rPr>
        <w:t xml:space="preserve">oder ser medido de manera física exige a las direcciones de comunicación corporativa cuidar de cada detalle </w:t>
      </w:r>
      <w:r>
        <w:rPr>
          <w:rFonts w:ascii="Times New Roman" w:hAnsi="Times New Roman" w:cs="Times New Roman"/>
          <w:sz w:val="24"/>
          <w:lang w:val="es-ES"/>
        </w:rPr>
        <w:lastRenderedPageBreak/>
        <w:t xml:space="preserve">tales como la imagen, el servicio, la atención, entre otros. Es decir, se pone en juego la calidad para el posicionamiento de la empresa y cumplimiento de su visión. </w:t>
      </w:r>
    </w:p>
    <w:p w:rsidR="00CE6765" w:rsidRDefault="00CE6765" w:rsidP="00CE6765">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Por otra parte, es necesario recordar las  </w:t>
      </w:r>
      <w:r w:rsidRPr="00CE6765">
        <w:rPr>
          <w:rFonts w:ascii="Times New Roman" w:hAnsi="Times New Roman" w:cs="Times New Roman"/>
          <w:sz w:val="24"/>
          <w:lang w:val="es-ES"/>
        </w:rPr>
        <w:t>4 dimensiones del proceso de dirección</w:t>
      </w:r>
      <w:r>
        <w:rPr>
          <w:rFonts w:ascii="Times New Roman" w:hAnsi="Times New Roman" w:cs="Times New Roman"/>
          <w:sz w:val="24"/>
          <w:lang w:val="es-ES"/>
        </w:rPr>
        <w:t xml:space="preserve"> del </w:t>
      </w:r>
      <w:r w:rsidRPr="00CE6765">
        <w:rPr>
          <w:rFonts w:ascii="Times New Roman" w:hAnsi="Times New Roman" w:cs="Times New Roman"/>
          <w:sz w:val="24"/>
          <w:lang w:val="es-ES"/>
        </w:rPr>
        <w:t xml:space="preserve">Management, </w:t>
      </w:r>
      <w:r>
        <w:rPr>
          <w:rFonts w:ascii="Times New Roman" w:hAnsi="Times New Roman" w:cs="Times New Roman"/>
          <w:sz w:val="24"/>
          <w:lang w:val="es-ES"/>
        </w:rPr>
        <w:t xml:space="preserve">con la cual se resuelva la capacidad directiva. En primer lugar se debe recordar el </w:t>
      </w:r>
      <w:r w:rsidRPr="00CE6765">
        <w:rPr>
          <w:rFonts w:ascii="Times New Roman" w:hAnsi="Times New Roman" w:cs="Times New Roman"/>
          <w:sz w:val="24"/>
          <w:lang w:val="es-ES"/>
        </w:rPr>
        <w:t>estilo de la dirección</w:t>
      </w:r>
      <w:r>
        <w:rPr>
          <w:rFonts w:ascii="Times New Roman" w:hAnsi="Times New Roman" w:cs="Times New Roman"/>
          <w:sz w:val="24"/>
          <w:lang w:val="es-ES"/>
        </w:rPr>
        <w:t>, así  como l</w:t>
      </w:r>
      <w:r w:rsidRPr="00CE6765">
        <w:rPr>
          <w:rFonts w:ascii="Times New Roman" w:hAnsi="Times New Roman" w:cs="Times New Roman"/>
          <w:sz w:val="24"/>
          <w:lang w:val="es-ES"/>
        </w:rPr>
        <w:t>a forma de organizar la institución</w:t>
      </w:r>
      <w:r>
        <w:rPr>
          <w:rFonts w:ascii="Times New Roman" w:hAnsi="Times New Roman" w:cs="Times New Roman"/>
          <w:sz w:val="24"/>
          <w:lang w:val="es-ES"/>
        </w:rPr>
        <w:t>. Más tarde los encargados de comunicación deben fijarse en l</w:t>
      </w:r>
      <w:r w:rsidRPr="00CE6765">
        <w:rPr>
          <w:rFonts w:ascii="Times New Roman" w:hAnsi="Times New Roman" w:cs="Times New Roman"/>
          <w:sz w:val="24"/>
          <w:lang w:val="es-ES"/>
        </w:rPr>
        <w:t>a manera de comunicar e informar lo transformado</w:t>
      </w:r>
      <w:r>
        <w:rPr>
          <w:rFonts w:ascii="Times New Roman" w:hAnsi="Times New Roman" w:cs="Times New Roman"/>
          <w:sz w:val="24"/>
          <w:lang w:val="es-ES"/>
        </w:rPr>
        <w:t xml:space="preserve"> y finalmente de l</w:t>
      </w:r>
      <w:r w:rsidRPr="00CE6765">
        <w:rPr>
          <w:rFonts w:ascii="Times New Roman" w:hAnsi="Times New Roman" w:cs="Times New Roman"/>
          <w:sz w:val="24"/>
          <w:lang w:val="es-ES"/>
        </w:rPr>
        <w:t>a manera de motivar e integrar.</w:t>
      </w:r>
      <w:r>
        <w:rPr>
          <w:rFonts w:ascii="Times New Roman" w:hAnsi="Times New Roman" w:cs="Times New Roman"/>
          <w:sz w:val="24"/>
          <w:lang w:val="es-ES"/>
        </w:rPr>
        <w:t xml:space="preserve"> Estos pilares no solo le sirven para visibilizar los intangibles sino que también le brindan una ventaja competitiva que se traduce como ser eficiente para </w:t>
      </w:r>
      <w:r w:rsidRPr="00CE6765">
        <w:rPr>
          <w:rFonts w:ascii="Times New Roman" w:hAnsi="Times New Roman" w:cs="Times New Roman"/>
          <w:sz w:val="24"/>
          <w:lang w:val="es-ES"/>
        </w:rPr>
        <w:t>y sostener una ventaja corporativa sustancial</w:t>
      </w:r>
      <w:r>
        <w:rPr>
          <w:rFonts w:ascii="Times New Roman" w:hAnsi="Times New Roman" w:cs="Times New Roman"/>
          <w:sz w:val="24"/>
          <w:lang w:val="es-ES"/>
        </w:rPr>
        <w:t xml:space="preserve"> misma que recae en la diferenciación. </w:t>
      </w:r>
    </w:p>
    <w:p w:rsidR="00CD0094" w:rsidRDefault="00CE6765" w:rsidP="00CE6765">
      <w:pPr>
        <w:spacing w:line="360" w:lineRule="auto"/>
        <w:jc w:val="both"/>
        <w:rPr>
          <w:rFonts w:ascii="Times New Roman" w:hAnsi="Times New Roman" w:cs="Times New Roman"/>
          <w:sz w:val="24"/>
        </w:rPr>
      </w:pPr>
      <w:r>
        <w:rPr>
          <w:rFonts w:ascii="Times New Roman" w:hAnsi="Times New Roman" w:cs="Times New Roman"/>
          <w:sz w:val="24"/>
          <w:lang w:val="es-ES"/>
        </w:rPr>
        <w:t xml:space="preserve">   Cuando se habla de la competencia principalmente se encuentran dos: perfecta e imperfecta. Se trata de</w:t>
      </w:r>
      <w:r w:rsidRPr="00CE6765">
        <w:rPr>
          <w:rFonts w:ascii="Times New Roman" w:hAnsi="Times New Roman" w:cs="Times New Roman"/>
          <w:sz w:val="24"/>
          <w:lang w:val="es-ES"/>
        </w:rPr>
        <w:t xml:space="preserve"> una situación en la cual los agentes</w:t>
      </w:r>
      <w:r>
        <w:rPr>
          <w:rFonts w:ascii="Times New Roman" w:hAnsi="Times New Roman" w:cs="Times New Roman"/>
          <w:sz w:val="24"/>
          <w:lang w:val="es-ES"/>
        </w:rPr>
        <w:t xml:space="preserve"> </w:t>
      </w:r>
      <w:r w:rsidRPr="00CE6765">
        <w:rPr>
          <w:rFonts w:ascii="Times New Roman" w:hAnsi="Times New Roman" w:cs="Times New Roman"/>
          <w:sz w:val="24"/>
          <w:lang w:val="es-ES"/>
        </w:rPr>
        <w:t>económicos tienen la libertad de ofrecer bienes y servicios en el</w:t>
      </w:r>
      <w:r>
        <w:rPr>
          <w:rFonts w:ascii="Times New Roman" w:hAnsi="Times New Roman" w:cs="Times New Roman"/>
          <w:sz w:val="24"/>
          <w:lang w:val="es-ES"/>
        </w:rPr>
        <w:t xml:space="preserve"> </w:t>
      </w:r>
      <w:r w:rsidRPr="00CE6765">
        <w:rPr>
          <w:rFonts w:ascii="Times New Roman" w:hAnsi="Times New Roman" w:cs="Times New Roman"/>
          <w:sz w:val="24"/>
          <w:lang w:val="es-ES"/>
        </w:rPr>
        <w:t>mercado, y de elegir a quién compran o adquieren estos bienes</w:t>
      </w:r>
      <w:r>
        <w:rPr>
          <w:rFonts w:ascii="Times New Roman" w:hAnsi="Times New Roman" w:cs="Times New Roman"/>
          <w:sz w:val="24"/>
          <w:lang w:val="es-ES"/>
        </w:rPr>
        <w:t xml:space="preserve">; sin embargo se muestra una competencia perfecta cuando </w:t>
      </w:r>
      <w:r w:rsidRPr="00CE6765">
        <w:rPr>
          <w:rFonts w:ascii="Times New Roman" w:hAnsi="Times New Roman" w:cs="Times New Roman"/>
          <w:sz w:val="24"/>
          <w:lang w:val="es-ES"/>
        </w:rPr>
        <w:t>un</w:t>
      </w:r>
      <w:r>
        <w:rPr>
          <w:rFonts w:ascii="Times New Roman" w:hAnsi="Times New Roman" w:cs="Times New Roman"/>
          <w:sz w:val="24"/>
          <w:lang w:val="es-ES"/>
        </w:rPr>
        <w:t xml:space="preserve"> </w:t>
      </w:r>
      <w:r w:rsidRPr="00CE6765">
        <w:rPr>
          <w:rFonts w:ascii="Times New Roman" w:hAnsi="Times New Roman" w:cs="Times New Roman"/>
          <w:sz w:val="24"/>
          <w:lang w:val="es-ES"/>
        </w:rPr>
        <w:t>gran número de compradores y</w:t>
      </w:r>
      <w:r>
        <w:rPr>
          <w:rFonts w:ascii="Times New Roman" w:hAnsi="Times New Roman" w:cs="Times New Roman"/>
          <w:sz w:val="24"/>
          <w:lang w:val="es-ES"/>
        </w:rPr>
        <w:t xml:space="preserve"> vendedores de una mercancía </w:t>
      </w:r>
      <w:r w:rsidRPr="00CE6765">
        <w:rPr>
          <w:rFonts w:ascii="Times New Roman" w:hAnsi="Times New Roman" w:cs="Times New Roman"/>
          <w:sz w:val="24"/>
          <w:lang w:val="es-ES"/>
        </w:rPr>
        <w:t>ofrecen productos</w:t>
      </w:r>
      <w:r>
        <w:rPr>
          <w:rFonts w:ascii="Times New Roman" w:hAnsi="Times New Roman" w:cs="Times New Roman"/>
          <w:sz w:val="24"/>
          <w:lang w:val="es-ES"/>
        </w:rPr>
        <w:t xml:space="preserve"> tipificados que exigen un precio de equilibrio, mientras que en la competencia imperfecta, la oferta y la demanda dictaminan un mercado de productos en movimientos a los que los vendedores conocen. Es por ello que e</w:t>
      </w:r>
      <w:r w:rsidRPr="00CE6765">
        <w:rPr>
          <w:rFonts w:ascii="Times New Roman" w:hAnsi="Times New Roman" w:cs="Times New Roman"/>
          <w:sz w:val="24"/>
          <w:lang w:val="es-ES"/>
        </w:rPr>
        <w:t xml:space="preserve">n economía, </w:t>
      </w:r>
      <w:r>
        <w:rPr>
          <w:rFonts w:ascii="Times New Roman" w:hAnsi="Times New Roman" w:cs="Times New Roman"/>
          <w:sz w:val="24"/>
          <w:lang w:val="es-ES"/>
        </w:rPr>
        <w:t xml:space="preserve">se propone </w:t>
      </w:r>
      <w:r w:rsidRPr="00CE6765">
        <w:rPr>
          <w:rFonts w:ascii="Times New Roman" w:hAnsi="Times New Roman" w:cs="Times New Roman"/>
          <w:sz w:val="24"/>
          <w:lang w:val="es-ES"/>
        </w:rPr>
        <w:t xml:space="preserve">un sistema de precios </w:t>
      </w:r>
      <w:r>
        <w:rPr>
          <w:rFonts w:ascii="Times New Roman" w:hAnsi="Times New Roman" w:cs="Times New Roman"/>
          <w:sz w:val="24"/>
          <w:lang w:val="es-ES"/>
        </w:rPr>
        <w:t>que efectúa la</w:t>
      </w:r>
      <w:r w:rsidRPr="00CE6765">
        <w:rPr>
          <w:rFonts w:ascii="Times New Roman" w:hAnsi="Times New Roman" w:cs="Times New Roman"/>
          <w:sz w:val="24"/>
          <w:lang w:val="es-ES"/>
        </w:rPr>
        <w:t xml:space="preserve"> distribución de bienes y servicios al asignar precios</w:t>
      </w:r>
      <w:r>
        <w:rPr>
          <w:rFonts w:ascii="Times New Roman" w:hAnsi="Times New Roman" w:cs="Times New Roman"/>
          <w:sz w:val="24"/>
          <w:lang w:val="es-ES"/>
        </w:rPr>
        <w:t xml:space="preserve">. </w:t>
      </w:r>
      <w:r w:rsidRPr="00CE6765">
        <w:rPr>
          <w:rFonts w:ascii="Times New Roman" w:hAnsi="Times New Roman" w:cs="Times New Roman"/>
          <w:sz w:val="24"/>
          <w:lang w:val="es-ES"/>
        </w:rPr>
        <w:t xml:space="preserve">Sin embargo, el sistema de precios no es usado para todas las decisiones actuales </w:t>
      </w:r>
      <w:r>
        <w:rPr>
          <w:rFonts w:ascii="Times New Roman" w:hAnsi="Times New Roman" w:cs="Times New Roman"/>
          <w:sz w:val="24"/>
          <w:lang w:val="es-ES"/>
        </w:rPr>
        <w:t>en las asignaciones de recursos; por ende, se crea Teoría de los p</w:t>
      </w:r>
      <w:r w:rsidRPr="00CE6765">
        <w:rPr>
          <w:rFonts w:ascii="Times New Roman" w:hAnsi="Times New Roman" w:cs="Times New Roman"/>
          <w:sz w:val="24"/>
          <w:lang w:val="es-ES"/>
        </w:rPr>
        <w:t>recios</w:t>
      </w:r>
      <w:r>
        <w:rPr>
          <w:rStyle w:val="Refdenotaalpie"/>
          <w:rFonts w:ascii="Times New Roman" w:hAnsi="Times New Roman" w:cs="Times New Roman"/>
          <w:sz w:val="24"/>
          <w:lang w:val="es-ES"/>
        </w:rPr>
        <w:footnoteReference w:id="2"/>
      </w:r>
      <w:r>
        <w:rPr>
          <w:rFonts w:ascii="Times New Roman" w:hAnsi="Times New Roman" w:cs="Times New Roman"/>
          <w:sz w:val="24"/>
          <w:lang w:val="es-ES"/>
        </w:rPr>
        <w:t>, que</w:t>
      </w:r>
      <w:r w:rsidRPr="00CE6765">
        <w:rPr>
          <w:rFonts w:ascii="Times New Roman" w:hAnsi="Times New Roman" w:cs="Times New Roman"/>
          <w:sz w:val="24"/>
          <w:lang w:val="es-ES"/>
        </w:rPr>
        <w:t xml:space="preserve"> estudia la determinación de los precios relativos de bien</w:t>
      </w:r>
      <w:r>
        <w:rPr>
          <w:rFonts w:ascii="Times New Roman" w:hAnsi="Times New Roman" w:cs="Times New Roman"/>
          <w:sz w:val="24"/>
          <w:lang w:val="es-ES"/>
        </w:rPr>
        <w:t xml:space="preserve">es y servicios de consumo final según los gastos y el mercado. </w:t>
      </w:r>
    </w:p>
    <w:p w:rsidR="00CE6765" w:rsidRDefault="00CE6765" w:rsidP="00CE6765">
      <w:pPr>
        <w:spacing w:line="360" w:lineRule="auto"/>
        <w:jc w:val="both"/>
        <w:rPr>
          <w:rFonts w:ascii="Times New Roman" w:hAnsi="Times New Roman" w:cs="Times New Roman"/>
          <w:sz w:val="24"/>
        </w:rPr>
      </w:pPr>
      <w:r>
        <w:rPr>
          <w:rFonts w:ascii="Times New Roman" w:hAnsi="Times New Roman" w:cs="Times New Roman"/>
          <w:sz w:val="24"/>
        </w:rPr>
        <w:t xml:space="preserve">     El precio es un factor interesante dentro de los procesos; sin embargo no se puede excluir, como las antiguas filosofías, al internet como un elemento más de estos movimientos pues, </w:t>
      </w:r>
      <w:r w:rsidRPr="00CE6765">
        <w:rPr>
          <w:rFonts w:ascii="Times New Roman" w:hAnsi="Times New Roman" w:cs="Times New Roman"/>
          <w:sz w:val="24"/>
        </w:rPr>
        <w:t>El Internet, las redes corporativas y los sistemas inalámbricos están vinculando a personas, máquinas y empresas de todo el globo, y conectando a quienes venden y q</w:t>
      </w:r>
      <w:r>
        <w:rPr>
          <w:rFonts w:ascii="Times New Roman" w:hAnsi="Times New Roman" w:cs="Times New Roman"/>
          <w:sz w:val="24"/>
        </w:rPr>
        <w:t xml:space="preserve">uienes compran como nunca antes y como lo expone el estudio de la Universidad Nacional de la Amazonía Peruana (UNAP), </w:t>
      </w:r>
      <w:r w:rsidRPr="00CE6765">
        <w:rPr>
          <w:rFonts w:ascii="Times New Roman" w:hAnsi="Times New Roman" w:cs="Times New Roman"/>
          <w:sz w:val="24"/>
        </w:rPr>
        <w:t xml:space="preserve">el Internet promete revertir la tendencia la tendencia de los precios fijos y llevarnos de vuelta a una era de precios </w:t>
      </w:r>
      <w:r w:rsidRPr="00CE6765">
        <w:rPr>
          <w:rFonts w:ascii="Times New Roman" w:hAnsi="Times New Roman" w:cs="Times New Roman"/>
          <w:sz w:val="24"/>
        </w:rPr>
        <w:lastRenderedPageBreak/>
        <w:t>negociados.</w:t>
      </w:r>
      <w:r>
        <w:rPr>
          <w:rFonts w:ascii="Times New Roman" w:hAnsi="Times New Roman" w:cs="Times New Roman"/>
          <w:sz w:val="24"/>
        </w:rPr>
        <w:t xml:space="preserve"> </w:t>
      </w:r>
      <w:sdt>
        <w:sdtPr>
          <w:rPr>
            <w:rFonts w:ascii="Times New Roman" w:hAnsi="Times New Roman" w:cs="Times New Roman"/>
            <w:sz w:val="24"/>
          </w:rPr>
          <w:id w:val="1493601977"/>
          <w:citation/>
        </w:sdtPr>
        <w:sdtContent>
          <w:r>
            <w:rPr>
              <w:rFonts w:ascii="Times New Roman" w:hAnsi="Times New Roman" w:cs="Times New Roman"/>
              <w:sz w:val="24"/>
            </w:rPr>
            <w:fldChar w:fldCharType="begin"/>
          </w:r>
          <w:r>
            <w:rPr>
              <w:rFonts w:ascii="Times New Roman" w:hAnsi="Times New Roman" w:cs="Times New Roman"/>
              <w:sz w:val="24"/>
              <w:lang w:val="es-ES"/>
            </w:rPr>
            <w:instrText xml:space="preserve">CITATION Fre15 \p 13 \l 3082 </w:instrText>
          </w:r>
          <w:r>
            <w:rPr>
              <w:rFonts w:ascii="Times New Roman" w:hAnsi="Times New Roman" w:cs="Times New Roman"/>
              <w:sz w:val="24"/>
            </w:rPr>
            <w:fldChar w:fldCharType="separate"/>
          </w:r>
          <w:r w:rsidRPr="00CE6765">
            <w:rPr>
              <w:rFonts w:ascii="Times New Roman" w:hAnsi="Times New Roman" w:cs="Times New Roman"/>
              <w:noProof/>
              <w:sz w:val="24"/>
              <w:lang w:val="es-ES"/>
            </w:rPr>
            <w:t>(Sánchez, 2015, pág. 13)</w:t>
          </w:r>
          <w:r>
            <w:rPr>
              <w:rFonts w:ascii="Times New Roman" w:hAnsi="Times New Roman" w:cs="Times New Roman"/>
              <w:sz w:val="24"/>
            </w:rPr>
            <w:fldChar w:fldCharType="end"/>
          </w:r>
        </w:sdtContent>
      </w:sdt>
      <w:r>
        <w:rPr>
          <w:rFonts w:ascii="Times New Roman" w:hAnsi="Times New Roman" w:cs="Times New Roman"/>
          <w:sz w:val="24"/>
        </w:rPr>
        <w:t xml:space="preserve">. Los actuales portales cibernéticos han modificado las conductas comunicacionales ya que exigen nuevas dinámicas del mercado y su actualización no da paso a estancamientos ni atrasos. </w:t>
      </w:r>
      <w:r w:rsidRPr="00CE6765">
        <w:rPr>
          <w:rFonts w:ascii="Times New Roman" w:hAnsi="Times New Roman" w:cs="Times New Roman"/>
          <w:sz w:val="24"/>
        </w:rPr>
        <w:t xml:space="preserve">Sitios Web como Compare.Net y PriceScan.com permiten a los compradores comparar productos y precios con rapidez y facilidad. Los sitios de subasta en línea como eBay.com y </w:t>
      </w:r>
      <w:proofErr w:type="spellStart"/>
      <w:r w:rsidRPr="00CE6765">
        <w:rPr>
          <w:rFonts w:ascii="Times New Roman" w:hAnsi="Times New Roman" w:cs="Times New Roman"/>
          <w:sz w:val="24"/>
        </w:rPr>
        <w:t>Onsale</w:t>
      </w:r>
      <w:proofErr w:type="spellEnd"/>
      <w:r w:rsidRPr="00CE6765">
        <w:rPr>
          <w:rFonts w:ascii="Times New Roman" w:hAnsi="Times New Roman" w:cs="Times New Roman"/>
          <w:sz w:val="24"/>
        </w:rPr>
        <w:t xml:space="preserve">. </w:t>
      </w:r>
      <w:proofErr w:type="spellStart"/>
      <w:r w:rsidRPr="00CE6765">
        <w:rPr>
          <w:rFonts w:ascii="Times New Roman" w:hAnsi="Times New Roman" w:cs="Times New Roman"/>
          <w:sz w:val="24"/>
        </w:rPr>
        <w:t>Com</w:t>
      </w:r>
      <w:proofErr w:type="spellEnd"/>
      <w:r w:rsidRPr="00CE6765">
        <w:rPr>
          <w:rFonts w:ascii="Times New Roman" w:hAnsi="Times New Roman" w:cs="Times New Roman"/>
          <w:sz w:val="24"/>
        </w:rPr>
        <w:t xml:space="preserve"> facilitan que los compradores y vendedores negocien lo</w:t>
      </w:r>
      <w:r>
        <w:rPr>
          <w:rFonts w:ascii="Times New Roman" w:hAnsi="Times New Roman" w:cs="Times New Roman"/>
          <w:sz w:val="24"/>
        </w:rPr>
        <w:t xml:space="preserve">s precios de miles de artículos. </w:t>
      </w:r>
      <w:proofErr w:type="spellStart"/>
      <w:r>
        <w:rPr>
          <w:rFonts w:ascii="Times New Roman" w:hAnsi="Times New Roman" w:cs="Times New Roman"/>
          <w:sz w:val="24"/>
        </w:rPr>
        <w:t>Asñi</w:t>
      </w:r>
      <w:proofErr w:type="spellEnd"/>
      <w:r>
        <w:rPr>
          <w:rFonts w:ascii="Times New Roman" w:hAnsi="Times New Roman" w:cs="Times New Roman"/>
          <w:sz w:val="24"/>
        </w:rPr>
        <w:t xml:space="preserve"> mismo, aparecen sistema de información como </w:t>
      </w:r>
      <w:r w:rsidRPr="00CE6765">
        <w:rPr>
          <w:rFonts w:ascii="Times New Roman" w:hAnsi="Times New Roman" w:cs="Times New Roman"/>
          <w:sz w:val="24"/>
        </w:rPr>
        <w:t xml:space="preserve">MIS (Management </w:t>
      </w:r>
      <w:proofErr w:type="spellStart"/>
      <w:r w:rsidRPr="00CE6765">
        <w:rPr>
          <w:rFonts w:ascii="Times New Roman" w:hAnsi="Times New Roman" w:cs="Times New Roman"/>
          <w:sz w:val="24"/>
        </w:rPr>
        <w:t>Information</w:t>
      </w:r>
      <w:proofErr w:type="spellEnd"/>
      <w:r w:rsidRPr="00CE6765">
        <w:rPr>
          <w:rFonts w:ascii="Times New Roman" w:hAnsi="Times New Roman" w:cs="Times New Roman"/>
          <w:sz w:val="24"/>
        </w:rPr>
        <w:t xml:space="preserve"> </w:t>
      </w:r>
      <w:proofErr w:type="spellStart"/>
      <w:r w:rsidRPr="00CE6765">
        <w:rPr>
          <w:rFonts w:ascii="Times New Roman" w:hAnsi="Times New Roman" w:cs="Times New Roman"/>
          <w:sz w:val="24"/>
        </w:rPr>
        <w:t>Systems</w:t>
      </w:r>
      <w:proofErr w:type="spellEnd"/>
      <w:r w:rsidRPr="00CE6765">
        <w:rPr>
          <w:rFonts w:ascii="Times New Roman" w:hAnsi="Times New Roman" w:cs="Times New Roman"/>
          <w:sz w:val="24"/>
        </w:rPr>
        <w:t xml:space="preserve">), DSS (Data </w:t>
      </w:r>
      <w:proofErr w:type="spellStart"/>
      <w:r w:rsidRPr="00CE6765">
        <w:rPr>
          <w:rFonts w:ascii="Times New Roman" w:hAnsi="Times New Roman" w:cs="Times New Roman"/>
          <w:sz w:val="24"/>
        </w:rPr>
        <w:t>Strategic</w:t>
      </w:r>
      <w:proofErr w:type="spellEnd"/>
      <w:r w:rsidRPr="00CE6765">
        <w:rPr>
          <w:rFonts w:ascii="Times New Roman" w:hAnsi="Times New Roman" w:cs="Times New Roman"/>
          <w:sz w:val="24"/>
        </w:rPr>
        <w:t xml:space="preserve"> </w:t>
      </w:r>
      <w:proofErr w:type="spellStart"/>
      <w:r w:rsidRPr="00CE6765">
        <w:rPr>
          <w:rFonts w:ascii="Times New Roman" w:hAnsi="Times New Roman" w:cs="Times New Roman"/>
          <w:sz w:val="24"/>
        </w:rPr>
        <w:t>Systems</w:t>
      </w:r>
      <w:proofErr w:type="spellEnd"/>
      <w:r w:rsidRPr="00CE6765">
        <w:rPr>
          <w:rFonts w:ascii="Times New Roman" w:hAnsi="Times New Roman" w:cs="Times New Roman"/>
          <w:sz w:val="24"/>
        </w:rPr>
        <w:t>) y SSS (</w:t>
      </w:r>
      <w:proofErr w:type="spellStart"/>
      <w:r w:rsidRPr="00CE6765">
        <w:rPr>
          <w:rFonts w:ascii="Times New Roman" w:hAnsi="Times New Roman" w:cs="Times New Roman"/>
          <w:sz w:val="24"/>
        </w:rPr>
        <w:t>Strategic</w:t>
      </w:r>
      <w:proofErr w:type="spellEnd"/>
      <w:r w:rsidRPr="00CE6765">
        <w:rPr>
          <w:rFonts w:ascii="Times New Roman" w:hAnsi="Times New Roman" w:cs="Times New Roman"/>
          <w:sz w:val="24"/>
        </w:rPr>
        <w:t xml:space="preserve"> </w:t>
      </w:r>
      <w:proofErr w:type="spellStart"/>
      <w:r w:rsidRPr="00CE6765">
        <w:rPr>
          <w:rFonts w:ascii="Times New Roman" w:hAnsi="Times New Roman" w:cs="Times New Roman"/>
          <w:sz w:val="24"/>
        </w:rPr>
        <w:t>Support</w:t>
      </w:r>
      <w:proofErr w:type="spellEnd"/>
      <w:r w:rsidRPr="00CE6765">
        <w:rPr>
          <w:rFonts w:ascii="Times New Roman" w:hAnsi="Times New Roman" w:cs="Times New Roman"/>
          <w:sz w:val="24"/>
        </w:rPr>
        <w:t xml:space="preserve"> </w:t>
      </w:r>
      <w:proofErr w:type="spellStart"/>
      <w:r w:rsidRPr="00CE6765">
        <w:rPr>
          <w:rFonts w:ascii="Times New Roman" w:hAnsi="Times New Roman" w:cs="Times New Roman"/>
          <w:sz w:val="24"/>
        </w:rPr>
        <w:t>System</w:t>
      </w:r>
      <w:proofErr w:type="spellEnd"/>
      <w:r w:rsidRPr="00CE6765">
        <w:rPr>
          <w:rFonts w:ascii="Times New Roman" w:hAnsi="Times New Roman" w:cs="Times New Roman"/>
          <w:sz w:val="24"/>
        </w:rPr>
        <w:t>)</w:t>
      </w:r>
      <w:r>
        <w:rPr>
          <w:rFonts w:ascii="Times New Roman" w:hAnsi="Times New Roman" w:cs="Times New Roman"/>
          <w:sz w:val="24"/>
        </w:rPr>
        <w:t xml:space="preserve"> que son los encargados de </w:t>
      </w:r>
      <w:r>
        <w:rPr>
          <w:rFonts w:ascii="Times New Roman" w:hAnsi="Times New Roman" w:cs="Times New Roman"/>
          <w:sz w:val="24"/>
        </w:rPr>
        <w:t xml:space="preserve">con los que </w:t>
      </w:r>
      <w:r w:rsidRPr="00CE6765">
        <w:rPr>
          <w:rFonts w:ascii="Times New Roman" w:hAnsi="Times New Roman" w:cs="Times New Roman"/>
          <w:sz w:val="24"/>
        </w:rPr>
        <w:t>recolectar, manipular y trasladar la información para la planificación y el control de directivos</w:t>
      </w:r>
      <w:r>
        <w:rPr>
          <w:rFonts w:ascii="Times New Roman" w:hAnsi="Times New Roman" w:cs="Times New Roman"/>
          <w:sz w:val="24"/>
        </w:rPr>
        <w:t xml:space="preserve">. </w:t>
      </w:r>
      <w:bookmarkStart w:id="0" w:name="_GoBack"/>
      <w:bookmarkEnd w:id="0"/>
      <w:r>
        <w:rPr>
          <w:rFonts w:ascii="Times New Roman" w:hAnsi="Times New Roman" w:cs="Times New Roman"/>
          <w:sz w:val="24"/>
        </w:rPr>
        <w:t xml:space="preserve">Por ende, la dirección de comunicación corporativa no puede alejarse de este fenómeno sino que a su vez debe introducirse en él, estudiarlo y aplicar las mejores medidas para el éxito de la empresa. </w:t>
      </w:r>
    </w:p>
    <w:sdt>
      <w:sdtPr>
        <w:rPr>
          <w:lang w:val="es-ES"/>
        </w:rPr>
        <w:id w:val="-164556497"/>
        <w:docPartObj>
          <w:docPartGallery w:val="Bibliographies"/>
          <w:docPartUnique/>
        </w:docPartObj>
      </w:sdtPr>
      <w:sdtEndPr>
        <w:rPr>
          <w:rFonts w:asciiTheme="minorHAnsi" w:eastAsiaTheme="minorHAnsi" w:hAnsiTheme="minorHAnsi" w:cstheme="minorBidi"/>
          <w:color w:val="auto"/>
          <w:sz w:val="22"/>
          <w:szCs w:val="22"/>
          <w:lang w:val="es-EC" w:eastAsia="en-US"/>
        </w:rPr>
      </w:sdtEndPr>
      <w:sdtContent>
        <w:p w:rsidR="00CE6765" w:rsidRDefault="00CE6765">
          <w:pPr>
            <w:pStyle w:val="Ttulo1"/>
          </w:pPr>
          <w:r>
            <w:rPr>
              <w:lang w:val="es-ES"/>
            </w:rPr>
            <w:t>Bibliografía</w:t>
          </w:r>
        </w:p>
        <w:sdt>
          <w:sdtPr>
            <w:id w:val="111145805"/>
            <w:bibliography/>
          </w:sdtPr>
          <w:sdtContent>
            <w:p w:rsidR="00CE6765" w:rsidRDefault="00CE6765" w:rsidP="00CE6765">
              <w:pPr>
                <w:pStyle w:val="Bibliografa"/>
                <w:ind w:left="720" w:hanging="720"/>
                <w:rPr>
                  <w:noProof/>
                  <w:sz w:val="24"/>
                  <w:szCs w:val="24"/>
                  <w:lang w:val="es-ES"/>
                </w:rPr>
              </w:pPr>
              <w:r>
                <w:fldChar w:fldCharType="begin"/>
              </w:r>
              <w:r>
                <w:instrText>BIBLIOGRAPHY</w:instrText>
              </w:r>
              <w:r>
                <w:fldChar w:fldCharType="separate"/>
              </w:r>
              <w:r>
                <w:rPr>
                  <w:noProof/>
                  <w:lang w:val="es-ES"/>
                </w:rPr>
                <w:t xml:space="preserve">Sánchez, F. (2015). Teoria de los precios. </w:t>
              </w:r>
              <w:r>
                <w:rPr>
                  <w:i/>
                  <w:iCs/>
                  <w:noProof/>
                  <w:lang w:val="es-ES"/>
                </w:rPr>
                <w:t>UNAP</w:t>
              </w:r>
              <w:r>
                <w:rPr>
                  <w:noProof/>
                  <w:lang w:val="es-ES"/>
                </w:rPr>
                <w:t>, 12-15.</w:t>
              </w:r>
            </w:p>
            <w:p w:rsidR="00CE6765" w:rsidRDefault="00CE6765" w:rsidP="00CE6765">
              <w:pPr>
                <w:rPr>
                  <w:rFonts w:asciiTheme="majorHAnsi" w:eastAsiaTheme="majorEastAsia" w:hAnsiTheme="majorHAnsi" w:cstheme="majorBidi"/>
                  <w:color w:val="2E74B5" w:themeColor="accent1" w:themeShade="BF"/>
                  <w:sz w:val="32"/>
                  <w:szCs w:val="32"/>
                  <w:lang w:val="es-ES" w:eastAsia="es-EC"/>
                </w:rPr>
              </w:pPr>
              <w:r>
                <w:rPr>
                  <w:b/>
                  <w:bCs/>
                </w:rPr>
                <w:fldChar w:fldCharType="end"/>
              </w:r>
              <w:proofErr w:type="spellStart"/>
              <w:r w:rsidRPr="00CE6765">
                <w:rPr>
                  <w:rFonts w:asciiTheme="majorHAnsi" w:eastAsiaTheme="majorEastAsia" w:hAnsiTheme="majorHAnsi" w:cstheme="majorBidi"/>
                  <w:color w:val="2E74B5" w:themeColor="accent1" w:themeShade="BF"/>
                  <w:sz w:val="32"/>
                  <w:szCs w:val="32"/>
                  <w:lang w:val="es-ES" w:eastAsia="es-EC"/>
                </w:rPr>
                <w:t>Linkografía</w:t>
              </w:r>
              <w:proofErr w:type="spellEnd"/>
            </w:p>
            <w:p w:rsidR="00CE6765" w:rsidRDefault="00CE6765" w:rsidP="00CE6765">
              <w:hyperlink r:id="rId7" w:history="1">
                <w:r>
                  <w:rPr>
                    <w:rStyle w:val="Hipervnculo"/>
                  </w:rPr>
                  <w:t>https://debitoor.es/glosario/definicion-activo-intangible</w:t>
                </w:r>
              </w:hyperlink>
            </w:p>
          </w:sdtContent>
        </w:sdt>
      </w:sdtContent>
    </w:sdt>
    <w:p w:rsidR="00CE6765" w:rsidRPr="00CE6765" w:rsidRDefault="00CE6765" w:rsidP="00CE6765">
      <w:pPr>
        <w:spacing w:line="360" w:lineRule="auto"/>
        <w:jc w:val="both"/>
        <w:rPr>
          <w:rFonts w:ascii="Times New Roman" w:hAnsi="Times New Roman" w:cs="Times New Roman"/>
          <w:sz w:val="24"/>
        </w:rPr>
      </w:pPr>
      <w:hyperlink r:id="rId8" w:history="1">
        <w:r w:rsidRPr="00F14CF0">
          <w:rPr>
            <w:rStyle w:val="Hipervnculo"/>
          </w:rPr>
          <w:t>http://repositorio.unapiquitos.edu.pe/handle/UNAP/5838</w:t>
        </w:r>
      </w:hyperlink>
    </w:p>
    <w:sectPr w:rsidR="00CE6765" w:rsidRPr="00CE676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530F" w:rsidRDefault="000E530F" w:rsidP="00CE6765">
      <w:pPr>
        <w:spacing w:after="0" w:line="240" w:lineRule="auto"/>
      </w:pPr>
      <w:r>
        <w:separator/>
      </w:r>
    </w:p>
  </w:endnote>
  <w:endnote w:type="continuationSeparator" w:id="0">
    <w:p w:rsidR="000E530F" w:rsidRDefault="000E530F" w:rsidP="00CE67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530F" w:rsidRDefault="000E530F" w:rsidP="00CE6765">
      <w:pPr>
        <w:spacing w:after="0" w:line="240" w:lineRule="auto"/>
      </w:pPr>
      <w:r>
        <w:separator/>
      </w:r>
    </w:p>
  </w:footnote>
  <w:footnote w:type="continuationSeparator" w:id="0">
    <w:p w:rsidR="000E530F" w:rsidRDefault="000E530F" w:rsidP="00CE6765">
      <w:pPr>
        <w:spacing w:after="0" w:line="240" w:lineRule="auto"/>
      </w:pPr>
      <w:r>
        <w:continuationSeparator/>
      </w:r>
    </w:p>
  </w:footnote>
  <w:footnote w:id="1">
    <w:p w:rsidR="00CE6765" w:rsidRPr="00CE6765" w:rsidRDefault="00CE6765">
      <w:pPr>
        <w:pStyle w:val="Textonotapie"/>
        <w:rPr>
          <w:lang w:val="es-ES"/>
        </w:rPr>
      </w:pPr>
      <w:r>
        <w:rPr>
          <w:rStyle w:val="Refdenotaalpie"/>
        </w:rPr>
        <w:footnoteRef/>
      </w:r>
      <w:r>
        <w:t xml:space="preserve"> </w:t>
      </w:r>
      <w:r>
        <w:rPr>
          <w:lang w:val="es-ES"/>
        </w:rPr>
        <w:t xml:space="preserve">Texto recuperado el 06/01/2020 de: </w:t>
      </w:r>
      <w:hyperlink r:id="rId1" w:history="1">
        <w:r>
          <w:rPr>
            <w:rStyle w:val="Hipervnculo"/>
          </w:rPr>
          <w:t>https://debitoor.es/glosario/definicion-activo-intangible</w:t>
        </w:r>
      </w:hyperlink>
    </w:p>
  </w:footnote>
  <w:footnote w:id="2">
    <w:p w:rsidR="00CE6765" w:rsidRPr="00CE6765" w:rsidRDefault="00CE6765" w:rsidP="00CE6765">
      <w:pPr>
        <w:pStyle w:val="Textonotapie"/>
        <w:jc w:val="both"/>
      </w:pPr>
      <w:r>
        <w:rPr>
          <w:rStyle w:val="Refdenotaalpie"/>
        </w:rPr>
        <w:footnoteRef/>
      </w:r>
      <w:r>
        <w:t xml:space="preserve"> </w:t>
      </w:r>
      <w:r w:rsidRPr="00CE6765">
        <w:t xml:space="preserve">Durante casi toda la historia los precios se fijaron por negociación entre quienes compran y quienes venden. Establecer un mismo precio para todos los compradores es una idea relativamente moderna que surgió con el desarrollo de las ventas al detalle a gran escala al final del siglo XIX F. W. </w:t>
      </w:r>
      <w:proofErr w:type="spellStart"/>
      <w:r w:rsidRPr="00CE6765">
        <w:t>Woolworth</w:t>
      </w:r>
      <w:proofErr w:type="spellEnd"/>
      <w:r w:rsidRPr="00CE6765">
        <w:t xml:space="preserve">, </w:t>
      </w:r>
      <w:proofErr w:type="spellStart"/>
      <w:r w:rsidRPr="00CE6765">
        <w:t>Tiffany</w:t>
      </w:r>
      <w:proofErr w:type="spellEnd"/>
      <w:r w:rsidRPr="00CE6765">
        <w:t xml:space="preserve"> &amp; Co.</w:t>
      </w:r>
      <w:r>
        <w:t xml:space="preserve"> Recuperado el 06/01/2020 de: </w:t>
      </w:r>
      <w:hyperlink r:id="rId2" w:history="1">
        <w:r w:rsidRPr="00F14CF0">
          <w:rPr>
            <w:rStyle w:val="Hipervnculo"/>
          </w:rPr>
          <w:t>http://repositorio.unapiquitos.edu.pe/handle/UNAP/5838</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C83"/>
    <w:rsid w:val="000D7C83"/>
    <w:rsid w:val="000E530F"/>
    <w:rsid w:val="002B62BA"/>
    <w:rsid w:val="00625BF6"/>
    <w:rsid w:val="00BF4F47"/>
    <w:rsid w:val="00CD0094"/>
    <w:rsid w:val="00CE6765"/>
    <w:rsid w:val="00E12CD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01E1D2-292A-469A-AC22-8075B829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7C83"/>
  </w:style>
  <w:style w:type="paragraph" w:styleId="Ttulo1">
    <w:name w:val="heading 1"/>
    <w:basedOn w:val="Normal"/>
    <w:next w:val="Normal"/>
    <w:link w:val="Ttulo1Car"/>
    <w:uiPriority w:val="9"/>
    <w:qFormat/>
    <w:rsid w:val="00CE6765"/>
    <w:pPr>
      <w:keepNext/>
      <w:keepLines/>
      <w:spacing w:before="240" w:after="0"/>
      <w:outlineLvl w:val="0"/>
    </w:pPr>
    <w:rPr>
      <w:rFonts w:asciiTheme="majorHAnsi" w:eastAsiaTheme="majorEastAsia" w:hAnsiTheme="majorHAnsi" w:cstheme="majorBidi"/>
      <w:color w:val="2E74B5" w:themeColor="accent1" w:themeShade="BF"/>
      <w:sz w:val="32"/>
      <w:szCs w:val="32"/>
      <w:lang w:eastAsia="es-EC"/>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CE676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E6765"/>
    <w:rPr>
      <w:sz w:val="20"/>
      <w:szCs w:val="20"/>
    </w:rPr>
  </w:style>
  <w:style w:type="character" w:styleId="Refdenotaalpie">
    <w:name w:val="footnote reference"/>
    <w:basedOn w:val="Fuentedeprrafopredeter"/>
    <w:uiPriority w:val="99"/>
    <w:semiHidden/>
    <w:unhideWhenUsed/>
    <w:rsid w:val="00CE6765"/>
    <w:rPr>
      <w:vertAlign w:val="superscript"/>
    </w:rPr>
  </w:style>
  <w:style w:type="character" w:styleId="Hipervnculo">
    <w:name w:val="Hyperlink"/>
    <w:basedOn w:val="Fuentedeprrafopredeter"/>
    <w:uiPriority w:val="99"/>
    <w:unhideWhenUsed/>
    <w:rsid w:val="00CE6765"/>
    <w:rPr>
      <w:color w:val="0000FF"/>
      <w:u w:val="single"/>
    </w:rPr>
  </w:style>
  <w:style w:type="character" w:customStyle="1" w:styleId="Ttulo1Car">
    <w:name w:val="Título 1 Car"/>
    <w:basedOn w:val="Fuentedeprrafopredeter"/>
    <w:link w:val="Ttulo1"/>
    <w:uiPriority w:val="9"/>
    <w:rsid w:val="00CE6765"/>
    <w:rPr>
      <w:rFonts w:asciiTheme="majorHAnsi" w:eastAsiaTheme="majorEastAsia" w:hAnsiTheme="majorHAnsi" w:cstheme="majorBidi"/>
      <w:color w:val="2E74B5" w:themeColor="accent1" w:themeShade="BF"/>
      <w:sz w:val="32"/>
      <w:szCs w:val="32"/>
      <w:lang w:eastAsia="es-EC"/>
    </w:rPr>
  </w:style>
  <w:style w:type="paragraph" w:styleId="Bibliografa">
    <w:name w:val="Bibliography"/>
    <w:basedOn w:val="Normal"/>
    <w:next w:val="Normal"/>
    <w:uiPriority w:val="37"/>
    <w:unhideWhenUsed/>
    <w:rsid w:val="00CE67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828288">
      <w:bodyDiv w:val="1"/>
      <w:marLeft w:val="0"/>
      <w:marRight w:val="0"/>
      <w:marTop w:val="0"/>
      <w:marBottom w:val="0"/>
      <w:divBdr>
        <w:top w:val="none" w:sz="0" w:space="0" w:color="auto"/>
        <w:left w:val="none" w:sz="0" w:space="0" w:color="auto"/>
        <w:bottom w:val="none" w:sz="0" w:space="0" w:color="auto"/>
        <w:right w:val="none" w:sz="0" w:space="0" w:color="auto"/>
      </w:divBdr>
    </w:div>
    <w:div w:id="549611135">
      <w:bodyDiv w:val="1"/>
      <w:marLeft w:val="0"/>
      <w:marRight w:val="0"/>
      <w:marTop w:val="0"/>
      <w:marBottom w:val="0"/>
      <w:divBdr>
        <w:top w:val="none" w:sz="0" w:space="0" w:color="auto"/>
        <w:left w:val="none" w:sz="0" w:space="0" w:color="auto"/>
        <w:bottom w:val="none" w:sz="0" w:space="0" w:color="auto"/>
        <w:right w:val="none" w:sz="0" w:space="0" w:color="auto"/>
      </w:divBdr>
    </w:div>
    <w:div w:id="699284205">
      <w:bodyDiv w:val="1"/>
      <w:marLeft w:val="0"/>
      <w:marRight w:val="0"/>
      <w:marTop w:val="0"/>
      <w:marBottom w:val="0"/>
      <w:divBdr>
        <w:top w:val="none" w:sz="0" w:space="0" w:color="auto"/>
        <w:left w:val="none" w:sz="0" w:space="0" w:color="auto"/>
        <w:bottom w:val="none" w:sz="0" w:space="0" w:color="auto"/>
        <w:right w:val="none" w:sz="0" w:space="0" w:color="auto"/>
      </w:divBdr>
    </w:div>
    <w:div w:id="1496339396">
      <w:bodyDiv w:val="1"/>
      <w:marLeft w:val="0"/>
      <w:marRight w:val="0"/>
      <w:marTop w:val="0"/>
      <w:marBottom w:val="0"/>
      <w:divBdr>
        <w:top w:val="none" w:sz="0" w:space="0" w:color="auto"/>
        <w:left w:val="none" w:sz="0" w:space="0" w:color="auto"/>
        <w:bottom w:val="none" w:sz="0" w:space="0" w:color="auto"/>
        <w:right w:val="none" w:sz="0" w:space="0" w:color="auto"/>
      </w:divBdr>
    </w:div>
    <w:div w:id="1986007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positorio.unapiquitos.edu.pe/handle/UNAP/5838" TargetMode="External"/><Relationship Id="rId3" Type="http://schemas.openxmlformats.org/officeDocument/2006/relationships/settings" Target="settings.xml"/><Relationship Id="rId7" Type="http://schemas.openxmlformats.org/officeDocument/2006/relationships/hyperlink" Target="https://debitoor.es/glosario/definicion-activo-intangibl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repositorio.unapiquitos.edu.pe/handle/UNAP/5838" TargetMode="External"/><Relationship Id="rId1" Type="http://schemas.openxmlformats.org/officeDocument/2006/relationships/hyperlink" Target="https://debitoor.es/glosario/definicion-activo-intangibl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Fre15</b:Tag>
    <b:SourceType>JournalArticle</b:SourceType>
    <b:Guid>{451969BE-44E2-472A-9396-6FA97B98FB25}</b:Guid>
    <b:Title>Teoria de los precios</b:Title>
    <b:Year>2015</b:Year>
    <b:Author>
      <b:Author>
        <b:NameList>
          <b:Person>
            <b:Last>Sánchez</b:Last>
            <b:First>Freddy</b:First>
          </b:Person>
        </b:NameList>
      </b:Author>
    </b:Author>
    <b:JournalName>UNAP</b:JournalName>
    <b:Pages>12-15</b:Pages>
    <b:RefOrder>1</b:RefOrder>
  </b:Source>
</b:Sources>
</file>

<file path=customXml/itemProps1.xml><?xml version="1.0" encoding="utf-8"?>
<ds:datastoreItem xmlns:ds="http://schemas.openxmlformats.org/officeDocument/2006/customXml" ds:itemID="{BF12F1AC-BAB5-4E0C-B6D1-8C57679A2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3</Pages>
  <Words>901</Words>
  <Characters>4958</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Alejandra Parra</dc:creator>
  <cp:keywords/>
  <dc:description/>
  <cp:lastModifiedBy>Alejandra Parra</cp:lastModifiedBy>
  <cp:revision>1</cp:revision>
  <dcterms:created xsi:type="dcterms:W3CDTF">2020-01-07T01:49:00Z</dcterms:created>
  <dcterms:modified xsi:type="dcterms:W3CDTF">2020-01-07T03:37:00Z</dcterms:modified>
</cp:coreProperties>
</file>