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4E6" w:rsidRPr="009F3E3C" w:rsidRDefault="004C41F4">
      <w:pPr>
        <w:rPr>
          <w:rFonts w:ascii="Arial" w:hAnsi="Arial" w:cs="Arial"/>
          <w:sz w:val="24"/>
          <w:szCs w:val="24"/>
        </w:rPr>
      </w:pPr>
      <w:r w:rsidRPr="009F3E3C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36E0C242" wp14:editId="17AA8D88">
            <wp:extent cx="5400040" cy="1131570"/>
            <wp:effectExtent l="0" t="0" r="0" b="0"/>
            <wp:docPr id="2" name="image2.png" descr="Image result for universidad de los hemisferio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 descr="Image result for universidad de los hemisferios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315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C41F4" w:rsidRPr="009F3E3C" w:rsidRDefault="004C41F4" w:rsidP="0099285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</w:pPr>
      <w:r w:rsidRPr="009F3E3C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 ¿Qué número y porcentaje de las 100 principales empresas de entretenimiento son de origen estadounidense? Indicar cuáles son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</w:pP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El porcentaje de las primeras </w:t>
      </w:r>
      <w:r w:rsidRPr="009F3E3C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  <w:t>100</w:t>
      </w: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empresas estadounidenses es el </w:t>
      </w:r>
      <w:r w:rsidRPr="009F3E3C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  <w:t>45%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-Viacom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-The Hearst Corporation 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-Discovery Communications 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-Nielsen Company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</w:t>
      </w:r>
      <w:proofErr w:type="spellStart"/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Iheart</w:t>
      </w:r>
      <w:proofErr w:type="spellEnd"/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 Communications 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-Liberty Media 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-Alphabet Google 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-Comcast Corporation 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 Liberty Interactive 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-Bloomberg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-Netflix 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-Live Nation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-News Corp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Walt Disney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-ATT Entertainment Group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-Time Warner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-Charter Communications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-Facebook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-Twenty-First Century Fox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-Cox Enterprises 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-Liberty Global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-Dish Network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-CBS Corp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-Yahoo!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-Sirius XM Radio 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-Scripps Networks Interactive 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-TEGNA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-Warner Music Group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-Meredith Corporation 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</w:t>
      </w:r>
      <w:proofErr w:type="spellStart"/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Tronc</w:t>
      </w:r>
      <w:proofErr w:type="spellEnd"/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 (Tribune Publishing Co.)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-The New York Times Company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-New Media Investment Group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</w:t>
      </w:r>
      <w:proofErr w:type="spellStart"/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Nextar</w:t>
      </w:r>
      <w:proofErr w:type="spellEnd"/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 Media Group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-The McClatchy Company</w:t>
      </w:r>
    </w:p>
    <w:p w:rsidR="004C41F4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 </w:t>
      </w:r>
      <w:r w:rsidR="004C41F4"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Lions Gate Entertainment 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lastRenderedPageBreak/>
        <w:t>-Regal Entertainment Group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-Time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-Gannett 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-Univision Communications 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-AMC Networks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-Advance Publications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-Tribune Media Co.</w:t>
      </w:r>
    </w:p>
    <w:p w:rsidR="00F745CF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-Cinema Holdings 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-Twitter</w:t>
      </w:r>
    </w:p>
    <w:p w:rsidR="00F745CF" w:rsidRPr="009F3E3C" w:rsidRDefault="00F745CF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9F3E3C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-Sinclair Broadcast Group </w:t>
      </w:r>
    </w:p>
    <w:p w:rsidR="004C41F4" w:rsidRPr="009F3E3C" w:rsidRDefault="004C41F4" w:rsidP="00992855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</w:p>
    <w:p w:rsidR="004C41F4" w:rsidRPr="009F3E3C" w:rsidRDefault="004C41F4" w:rsidP="00992855">
      <w:pPr>
        <w:numPr>
          <w:ilvl w:val="0"/>
          <w:numId w:val="1"/>
        </w:num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¿Qué número y porcentaje de las 100 principales empresas de entretenimiento son europeas? Indicar cuáles son.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El porcentaje de las primeras </w:t>
      </w: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100</w:t>
      </w: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empresas europeas es el </w:t>
      </w: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36%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-Hubert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Burda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 Media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Lagardère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 Media 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-Altice Group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-Bertelsmann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-British Sky Broadcasting Group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-Vivendi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-RELX Group </w:t>
      </w:r>
      <w:proofErr w:type="gram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( Reed</w:t>
      </w:r>
      <w:proofErr w:type="gram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 Elsevier)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-Pearson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-British Broadcasting Corporation (BBC)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Fininvest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-Wolters Kluwer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-Telefonica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-Axel Springer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Verlag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 AG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-France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Télévisions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-RAI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-Bonnier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-Daily Mail and General Trust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-Modern Times Group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Schibsted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 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SanomaWSOY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-Egmont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-NOS SGPS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-De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Persgroep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lastRenderedPageBreak/>
        <w:t xml:space="preserve">-ProSiebenSat.1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Group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Ringier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 Group Communications 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Tamedia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-Digi Communications 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Atresmedia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-ITV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-SES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-TF1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Intelsat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-Grupo Prisa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Cineworld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-RCS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MediaGroup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-Corporación de Radio y Televisión Española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</w:pPr>
    </w:p>
    <w:p w:rsidR="004C41F4" w:rsidRPr="009F3E3C" w:rsidRDefault="004C41F4" w:rsidP="00992855">
      <w:pPr>
        <w:numPr>
          <w:ilvl w:val="0"/>
          <w:numId w:val="1"/>
        </w:num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 ¿Qué número y porcentaje de las 100 principales empresas de entretenimiento son asiáticas? Indicar cuáles son.</w:t>
      </w:r>
    </w:p>
    <w:p w:rsidR="00F745CF" w:rsidRPr="009F3E3C" w:rsidRDefault="00F745CF" w:rsidP="00992855">
      <w:pPr>
        <w:pStyle w:val="Prrafodelista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El porcentaje de las primeras</w:t>
      </w: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 xml:space="preserve"> 100</w:t>
      </w: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empresas asiáticas es el </w:t>
      </w: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7%:</w:t>
      </w:r>
    </w:p>
    <w:p w:rsidR="00F745CF" w:rsidRPr="009F3E3C" w:rsidRDefault="00F745CF" w:rsidP="00992855">
      <w:pPr>
        <w:pStyle w:val="Prrafodelista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-Nikkei Inc.</w:t>
      </w:r>
    </w:p>
    <w:p w:rsidR="00F745CF" w:rsidRPr="009F3E3C" w:rsidRDefault="00F745CF" w:rsidP="00992855">
      <w:pPr>
        <w:pStyle w:val="Prrafodelista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Dogan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 Holding</w:t>
      </w:r>
    </w:p>
    <w:p w:rsidR="00F745CF" w:rsidRPr="009F3E3C" w:rsidRDefault="00F745CF" w:rsidP="00992855">
      <w:pPr>
        <w:pStyle w:val="Prrafodelista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-Sony</w:t>
      </w:r>
    </w:p>
    <w:p w:rsidR="00F745CF" w:rsidRPr="009F3E3C" w:rsidRDefault="00F745CF" w:rsidP="00992855">
      <w:pPr>
        <w:pStyle w:val="Prrafodelista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-Singapore Press</w:t>
      </w:r>
    </w:p>
    <w:p w:rsidR="00F745CF" w:rsidRPr="009F3E3C" w:rsidRDefault="00F745CF" w:rsidP="00992855">
      <w:pPr>
        <w:pStyle w:val="Prrafodelista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 Holding</w:t>
      </w:r>
    </w:p>
    <w:p w:rsidR="00F745CF" w:rsidRPr="009F3E3C" w:rsidRDefault="00F745CF" w:rsidP="00992855">
      <w:pPr>
        <w:pStyle w:val="Prrafodelista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-Fuji Media holdings </w:t>
      </w:r>
    </w:p>
    <w:p w:rsidR="00F745CF" w:rsidRPr="009F3E3C" w:rsidRDefault="00F745CF" w:rsidP="00992855">
      <w:pPr>
        <w:pStyle w:val="Prrafodelista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-NHK</w:t>
      </w:r>
    </w:p>
    <w:p w:rsidR="00F745CF" w:rsidRPr="009F3E3C" w:rsidRDefault="00F745CF" w:rsidP="00992855">
      <w:pPr>
        <w:pStyle w:val="Prrafodelista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Yandex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val="en-US" w:eastAsia="es-ES"/>
        </w:rPr>
      </w:pPr>
    </w:p>
    <w:p w:rsidR="004C41F4" w:rsidRPr="009F3E3C" w:rsidRDefault="004C41F4" w:rsidP="00992855">
      <w:pPr>
        <w:numPr>
          <w:ilvl w:val="0"/>
          <w:numId w:val="1"/>
        </w:num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¿Qué número y porcentaje de las 100 principales empresas de entretenimiento son iberoamericanas? Indicar cuáles son.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El porcentaje de las primeras </w:t>
      </w: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100</w:t>
      </w: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empresas iberoamericanas es el </w:t>
      </w: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5%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-Globo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-América Móvil 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-Grupo Televisa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Megacable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Holdings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-Grupo Clarín </w:t>
      </w:r>
    </w:p>
    <w:p w:rsidR="00F745CF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</w:p>
    <w:p w:rsidR="001E7922" w:rsidRPr="009F3E3C" w:rsidRDefault="001E7922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</w:p>
    <w:p w:rsidR="004C41F4" w:rsidRPr="009F3E3C" w:rsidRDefault="004C41F4" w:rsidP="00992855">
      <w:pPr>
        <w:numPr>
          <w:ilvl w:val="0"/>
          <w:numId w:val="1"/>
        </w:num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lastRenderedPageBreak/>
        <w:t>-¿Qué número y porcentaje de las 100 principales empresas de entretenimiento fueron fundadas antes de 1990 -introducción de la world wide web-? Indicar cuáles.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-Walt Disney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-ATT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Entertainment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Group</w:t>
      </w:r>
      <w:proofErr w:type="spellEnd"/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Telefonica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-Cox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Enterprises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-Warner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Music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Group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-Sony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Bloomberg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-News Corp.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-Discovery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Communications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-British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Broadcasting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Corporation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 (BBC)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-Comcast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Bertelsmann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-CBS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Group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-Vivendi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Hearst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Corporation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-Rogers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Communications</w:t>
      </w:r>
      <w:proofErr w:type="spellEnd"/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-Globo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-ITV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-Axel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Springer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Verlag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AG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Iheart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Media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Wolters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Kluwer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Fininvest</w:t>
      </w:r>
      <w:proofErr w:type="spellEnd"/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-Grupo Televisa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-NHK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Nielsen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Company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Naspers</w:t>
      </w:r>
      <w:proofErr w:type="spellEnd"/>
    </w:p>
    <w:p w:rsidR="00837E1F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-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Fuji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Media Holding</w:t>
      </w:r>
    </w:p>
    <w:p w:rsidR="001E7922" w:rsidRDefault="001E7922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</w:p>
    <w:p w:rsidR="001E7922" w:rsidRDefault="001E7922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</w:p>
    <w:p w:rsidR="001E7922" w:rsidRPr="009F3E3C" w:rsidRDefault="001E7922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</w:p>
    <w:p w:rsidR="004C41F4" w:rsidRPr="009F3E3C" w:rsidRDefault="004C41F4" w:rsidP="00992855">
      <w:pPr>
        <w:numPr>
          <w:ilvl w:val="0"/>
          <w:numId w:val="1"/>
        </w:num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lastRenderedPageBreak/>
        <w:t>¿Qué número y porcentaje de las 100 principales empresas de entretenimiento fueron fundadas después de 1990 -introducción de la world wide web? Indicar cuáles.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Lagardère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Media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Time Warner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Charter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Communications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Facebook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Twenty-First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Century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Pearson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Liberty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Media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Yahoo!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</w:pP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>Dish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eastAsia="es-ES"/>
        </w:rPr>
        <w:t xml:space="preserve"> Network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-Alphabet Google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Netflix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Live Nation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Viacom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Thomson Reuters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Liberty Interactive 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Altice Group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Liberty Global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British Sky Broadcasting Group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Sirius XM Radio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ProSiebenSat.1 Group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América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 </w:t>
      </w:r>
      <w:proofErr w:type="spellStart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Móvil</w:t>
      </w:r>
      <w:proofErr w:type="spellEnd"/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 xml:space="preserve">Shaw Communications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Scripps Networks Interactive</w:t>
      </w:r>
    </w:p>
    <w:p w:rsidR="00F745CF" w:rsidRPr="009F3E3C" w:rsidRDefault="00F745C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  <w:r w:rsidRPr="009F3E3C"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  <w:t>RELX Group (Reed Elsevier)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 w:eastAsia="es-ES"/>
        </w:rPr>
      </w:pPr>
    </w:p>
    <w:p w:rsidR="004C41F4" w:rsidRPr="009F3E3C" w:rsidRDefault="004C41F4" w:rsidP="00992855">
      <w:pPr>
        <w:numPr>
          <w:ilvl w:val="0"/>
          <w:numId w:val="1"/>
        </w:num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¿Qué es un </w:t>
      </w:r>
      <w:r w:rsidRPr="009F3E3C">
        <w:rPr>
          <w:rFonts w:ascii="Arial" w:eastAsia="Times New Roman" w:hAnsi="Arial" w:cs="Arial"/>
          <w:b/>
          <w:i/>
          <w:iCs/>
          <w:color w:val="000000" w:themeColor="text1"/>
          <w:sz w:val="24"/>
          <w:szCs w:val="24"/>
          <w:lang w:eastAsia="es-ES"/>
        </w:rPr>
        <w:t xml:space="preserve">new </w:t>
      </w:r>
      <w:proofErr w:type="spellStart"/>
      <w:r w:rsidRPr="009F3E3C">
        <w:rPr>
          <w:rFonts w:ascii="Arial" w:eastAsia="Times New Roman" w:hAnsi="Arial" w:cs="Arial"/>
          <w:b/>
          <w:i/>
          <w:iCs/>
          <w:color w:val="000000" w:themeColor="text1"/>
          <w:sz w:val="24"/>
          <w:szCs w:val="24"/>
          <w:lang w:eastAsia="es-ES"/>
        </w:rPr>
        <w:t>new</w:t>
      </w:r>
      <w:proofErr w:type="spellEnd"/>
      <w:r w:rsidRPr="009F3E3C">
        <w:rPr>
          <w:rFonts w:ascii="Arial" w:eastAsia="Times New Roman" w:hAnsi="Arial" w:cs="Arial"/>
          <w:b/>
          <w:i/>
          <w:iCs/>
          <w:color w:val="000000" w:themeColor="text1"/>
          <w:sz w:val="24"/>
          <w:szCs w:val="24"/>
          <w:lang w:eastAsia="es-ES"/>
        </w:rPr>
        <w:t xml:space="preserve"> media</w:t>
      </w: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 xml:space="preserve">? según Paul </w:t>
      </w:r>
      <w:proofErr w:type="spellStart"/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Levinson</w:t>
      </w:r>
      <w:proofErr w:type="spellEnd"/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.</w:t>
      </w:r>
    </w:p>
    <w:p w:rsidR="009832B4" w:rsidRPr="009F3E3C" w:rsidRDefault="009832B4" w:rsidP="009832B4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4"/>
          <w:szCs w:val="24"/>
          <w:lang w:val="es-EC"/>
        </w:rPr>
      </w:pPr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 xml:space="preserve">El Internet vino a revolucionar la comunicación como se la conocía, apareciendo con ella noticias en línea pero básicamente todas bastante similares a la radio, tv y medios impresos. </w:t>
      </w:r>
    </w:p>
    <w:p w:rsidR="009832B4" w:rsidRPr="009F3E3C" w:rsidRDefault="009832B4" w:rsidP="009832B4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4"/>
          <w:szCs w:val="24"/>
          <w:lang w:val="es-EC"/>
        </w:rPr>
      </w:pPr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 xml:space="preserve">A partir del desarrollo de la web 2.0 Paul </w:t>
      </w:r>
      <w:proofErr w:type="spellStart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>Levinson</w:t>
      </w:r>
      <w:proofErr w:type="spellEnd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 xml:space="preserve"> propone analizar los medios como new </w:t>
      </w:r>
      <w:proofErr w:type="spellStart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>new</w:t>
      </w:r>
      <w:proofErr w:type="spellEnd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 xml:space="preserve"> media debido a que estos conformaban nuevos procesos mediáticos. Los nuevos medios tales como Facebook, </w:t>
      </w:r>
      <w:proofErr w:type="spellStart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>Youtube</w:t>
      </w:r>
      <w:proofErr w:type="spellEnd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 xml:space="preserve">, Twitter, Instagram, </w:t>
      </w:r>
      <w:proofErr w:type="spellStart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>Buzzfeed</w:t>
      </w:r>
      <w:proofErr w:type="spellEnd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 xml:space="preserve">, </w:t>
      </w:r>
      <w:proofErr w:type="spellStart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>etc</w:t>
      </w:r>
      <w:proofErr w:type="spellEnd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 xml:space="preserve"> permitían que el usuario goce de un experiencia más participativa ya que le permitía crear blogs, crear redes de amigos, definir galerías personales de fotografía, producir mensajes </w:t>
      </w:r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lastRenderedPageBreak/>
        <w:t>instantáneos y construir canales audiovisuales a partir de programaciones a tu gusto.</w:t>
      </w:r>
      <w:sdt>
        <w:sdtPr>
          <w:rPr>
            <w:rFonts w:ascii="Arial" w:hAnsi="Arial" w:cs="Arial"/>
            <w:sz w:val="24"/>
            <w:szCs w:val="24"/>
            <w:lang w:val="es-EC"/>
          </w:rPr>
          <w:id w:val="-124547091"/>
          <w:citation/>
        </w:sdtPr>
        <w:sdtContent>
          <w:r w:rsidRPr="009F3E3C">
            <w:rPr>
              <w:rFonts w:ascii="Arial" w:eastAsia="Times New Roman" w:hAnsi="Arial" w:cs="Arial"/>
              <w:color w:val="404040"/>
              <w:sz w:val="24"/>
              <w:szCs w:val="24"/>
              <w:lang w:val="es-EC"/>
            </w:rPr>
            <w:fldChar w:fldCharType="begin"/>
          </w:r>
          <w:r w:rsidRPr="009F3E3C">
            <w:rPr>
              <w:rFonts w:ascii="Arial" w:eastAsia="Times New Roman" w:hAnsi="Arial" w:cs="Arial"/>
              <w:color w:val="404040"/>
              <w:sz w:val="24"/>
              <w:szCs w:val="24"/>
              <w:lang w:val="es-EC"/>
            </w:rPr>
            <w:instrText xml:space="preserve"> CITATION Fer13 \l 12298 </w:instrText>
          </w:r>
          <w:r w:rsidRPr="009F3E3C">
            <w:rPr>
              <w:rFonts w:ascii="Arial" w:eastAsia="Times New Roman" w:hAnsi="Arial" w:cs="Arial"/>
              <w:color w:val="404040"/>
              <w:sz w:val="24"/>
              <w:szCs w:val="24"/>
              <w:lang w:val="es-EC"/>
            </w:rPr>
            <w:fldChar w:fldCharType="separate"/>
          </w:r>
          <w:r w:rsidRPr="009F3E3C">
            <w:rPr>
              <w:rFonts w:ascii="Arial" w:eastAsia="Times New Roman" w:hAnsi="Arial" w:cs="Arial"/>
              <w:noProof/>
              <w:color w:val="404040"/>
              <w:sz w:val="24"/>
              <w:szCs w:val="24"/>
              <w:lang w:val="es-EC"/>
            </w:rPr>
            <w:t xml:space="preserve"> (Ferrer, 2013)</w:t>
          </w:r>
          <w:r w:rsidRPr="009F3E3C">
            <w:rPr>
              <w:rFonts w:ascii="Arial" w:eastAsia="Times New Roman" w:hAnsi="Arial" w:cs="Arial"/>
              <w:color w:val="404040"/>
              <w:sz w:val="24"/>
              <w:szCs w:val="24"/>
              <w:lang w:val="es-EC"/>
            </w:rPr>
            <w:fldChar w:fldCharType="end"/>
          </w:r>
        </w:sdtContent>
      </w:sdt>
    </w:p>
    <w:p w:rsidR="009832B4" w:rsidRPr="009F3E3C" w:rsidRDefault="009832B4" w:rsidP="009832B4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4"/>
          <w:szCs w:val="24"/>
          <w:lang w:val="es-EC"/>
        </w:rPr>
      </w:pPr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 xml:space="preserve">Estos nuevos </w:t>
      </w:r>
      <w:proofErr w:type="spellStart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>nuevos</w:t>
      </w:r>
      <w:proofErr w:type="spellEnd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 xml:space="preserve"> medios proporcionan al usuario ser productor de contenido y usuario de otras cuentas. Lo que permite cierta retroalimentación ya que en todas las redes sociales existe la posibilidad de escribir comentarios acerca del contenido expuesto. </w:t>
      </w:r>
    </w:p>
    <w:p w:rsidR="009832B4" w:rsidRPr="009F3E3C" w:rsidRDefault="009832B4" w:rsidP="009832B4">
      <w:pPr>
        <w:pStyle w:val="Prrafodelista"/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4"/>
          <w:szCs w:val="24"/>
          <w:lang w:val="es-EC"/>
        </w:rPr>
      </w:pPr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 xml:space="preserve">Con la ayuda de la tecnología y los nuevos dispositivos como móviles y </w:t>
      </w:r>
      <w:proofErr w:type="spellStart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>tablets</w:t>
      </w:r>
      <w:proofErr w:type="spellEnd"/>
      <w:r w:rsidRPr="009F3E3C">
        <w:rPr>
          <w:rFonts w:ascii="Arial" w:eastAsia="Times New Roman" w:hAnsi="Arial" w:cs="Arial"/>
          <w:color w:val="404040"/>
          <w:sz w:val="24"/>
          <w:szCs w:val="24"/>
          <w:lang w:val="es-EC"/>
        </w:rPr>
        <w:t xml:space="preserve"> la comunicación cambio a tal punto en el que cualquiera tiene la posibilidad de crear contenido que sea visto por miles y millones de personas en el mundo, siendo una idea utópica a principios del siglo pero que ahora es una realidad.   </w:t>
      </w:r>
    </w:p>
    <w:p w:rsidR="00837E1F" w:rsidRPr="009F3E3C" w:rsidRDefault="00837E1F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val="es-EC" w:eastAsia="es-ES"/>
        </w:rPr>
      </w:pPr>
    </w:p>
    <w:p w:rsidR="00992855" w:rsidRPr="009F3E3C" w:rsidRDefault="004C41F4" w:rsidP="00992855">
      <w:pPr>
        <w:numPr>
          <w:ilvl w:val="0"/>
          <w:numId w:val="1"/>
        </w:num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</w:pPr>
      <w:r w:rsidRPr="009F3E3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  <w:t>Buscar en Internet un estudio similar al realizado por Francisco Vidal, más reciente.</w:t>
      </w:r>
    </w:p>
    <w:p w:rsidR="00992855" w:rsidRPr="009F3E3C" w:rsidRDefault="00992855" w:rsidP="00992855">
      <w:pPr>
        <w:pStyle w:val="Prrafodelista"/>
        <w:rPr>
          <w:rFonts w:ascii="Arial" w:hAnsi="Arial" w:cs="Arial"/>
          <w:color w:val="000000" w:themeColor="text1"/>
          <w:sz w:val="24"/>
          <w:szCs w:val="24"/>
        </w:rPr>
      </w:pPr>
    </w:p>
    <w:p w:rsidR="00992855" w:rsidRPr="009F3E3C" w:rsidRDefault="00992855" w:rsidP="00992855">
      <w:pPr>
        <w:shd w:val="clear" w:color="auto" w:fill="FFFFFF"/>
        <w:spacing w:before="120" w:after="120" w:line="240" w:lineRule="auto"/>
        <w:ind w:left="720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ES"/>
        </w:rPr>
      </w:pPr>
      <w:r w:rsidRPr="009F3E3C">
        <w:rPr>
          <w:rFonts w:ascii="Arial" w:hAnsi="Arial" w:cs="Arial"/>
          <w:color w:val="000000" w:themeColor="text1"/>
          <w:sz w:val="24"/>
          <w:szCs w:val="24"/>
        </w:rPr>
        <w:t>Según el estudio que realizó la revista FORBES, son 15 compañías divididas entre Estados Unidos y Asia. Las cuales alcanzan el mayor ranking por ser las  empresas más grandes de todo el mundo</w:t>
      </w:r>
      <w:r w:rsidR="00206207" w:rsidRPr="009F3E3C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992855" w:rsidRPr="009F3E3C" w:rsidRDefault="00992855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F3E3C">
        <w:rPr>
          <w:rFonts w:ascii="Arial" w:hAnsi="Arial" w:cs="Arial"/>
          <w:color w:val="000000" w:themeColor="text1"/>
          <w:sz w:val="24"/>
          <w:szCs w:val="24"/>
        </w:rPr>
        <w:t>Apple</w:t>
      </w:r>
    </w:p>
    <w:p w:rsidR="00992855" w:rsidRPr="009F3E3C" w:rsidRDefault="00992855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F3E3C">
        <w:rPr>
          <w:rFonts w:ascii="Arial" w:hAnsi="Arial" w:cs="Arial"/>
          <w:color w:val="000000" w:themeColor="text1"/>
          <w:sz w:val="24"/>
          <w:szCs w:val="24"/>
        </w:rPr>
        <w:t>Microsoft</w:t>
      </w:r>
    </w:p>
    <w:p w:rsidR="00992855" w:rsidRPr="009F3E3C" w:rsidRDefault="00992855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F3E3C">
        <w:rPr>
          <w:rFonts w:ascii="Arial" w:hAnsi="Arial" w:cs="Arial"/>
          <w:color w:val="000000" w:themeColor="text1"/>
          <w:sz w:val="24"/>
          <w:szCs w:val="24"/>
        </w:rPr>
        <w:t>Intel</w:t>
      </w:r>
    </w:p>
    <w:p w:rsidR="00206207" w:rsidRPr="009F3E3C" w:rsidRDefault="00206207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9F3E3C">
        <w:rPr>
          <w:rFonts w:ascii="Arial" w:hAnsi="Arial" w:cs="Arial"/>
          <w:color w:val="000000" w:themeColor="text1"/>
          <w:sz w:val="24"/>
          <w:szCs w:val="24"/>
        </w:rPr>
        <w:t>Sap</w:t>
      </w:r>
      <w:proofErr w:type="spellEnd"/>
    </w:p>
    <w:p w:rsidR="00206207" w:rsidRPr="009F3E3C" w:rsidRDefault="00206207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F3E3C">
        <w:rPr>
          <w:rFonts w:ascii="Arial" w:hAnsi="Arial" w:cs="Arial"/>
          <w:color w:val="000000" w:themeColor="text1"/>
          <w:sz w:val="24"/>
          <w:szCs w:val="24"/>
        </w:rPr>
        <w:t>Broadcom</w:t>
      </w:r>
    </w:p>
    <w:p w:rsidR="00206207" w:rsidRPr="009F3E3C" w:rsidRDefault="00206207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9F3E3C">
        <w:rPr>
          <w:rFonts w:ascii="Arial" w:hAnsi="Arial" w:cs="Arial"/>
          <w:color w:val="000000" w:themeColor="text1"/>
          <w:sz w:val="24"/>
          <w:szCs w:val="24"/>
        </w:rPr>
        <w:t>SKhynix</w:t>
      </w:r>
      <w:proofErr w:type="spellEnd"/>
    </w:p>
    <w:p w:rsidR="00992855" w:rsidRPr="009F3E3C" w:rsidRDefault="00992855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9F3E3C">
        <w:rPr>
          <w:rFonts w:ascii="Arial" w:hAnsi="Arial" w:cs="Arial"/>
          <w:color w:val="000000" w:themeColor="text1"/>
          <w:sz w:val="24"/>
          <w:szCs w:val="24"/>
        </w:rPr>
        <w:t>Foxconn</w:t>
      </w:r>
      <w:proofErr w:type="spellEnd"/>
    </w:p>
    <w:p w:rsidR="00992855" w:rsidRPr="009F3E3C" w:rsidRDefault="00992855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9F3E3C">
        <w:rPr>
          <w:rFonts w:ascii="Arial" w:hAnsi="Arial" w:cs="Arial"/>
          <w:color w:val="000000" w:themeColor="text1"/>
          <w:sz w:val="24"/>
          <w:szCs w:val="24"/>
        </w:rPr>
        <w:t>Orancle</w:t>
      </w:r>
      <w:proofErr w:type="spellEnd"/>
    </w:p>
    <w:p w:rsidR="00992855" w:rsidRPr="009F3E3C" w:rsidRDefault="00992855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F3E3C">
        <w:rPr>
          <w:rFonts w:ascii="Arial" w:hAnsi="Arial" w:cs="Arial"/>
          <w:color w:val="000000" w:themeColor="text1"/>
          <w:sz w:val="24"/>
          <w:szCs w:val="24"/>
        </w:rPr>
        <w:t>TSME</w:t>
      </w:r>
    </w:p>
    <w:p w:rsidR="00206207" w:rsidRPr="009F3E3C" w:rsidRDefault="00206207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F3E3C">
        <w:rPr>
          <w:rFonts w:ascii="Arial" w:hAnsi="Arial" w:cs="Arial"/>
          <w:color w:val="000000" w:themeColor="text1"/>
          <w:sz w:val="24"/>
          <w:szCs w:val="24"/>
        </w:rPr>
        <w:t>Samsung</w:t>
      </w:r>
    </w:p>
    <w:p w:rsidR="00206207" w:rsidRPr="009F3E3C" w:rsidRDefault="00206207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F3E3C">
        <w:rPr>
          <w:rFonts w:ascii="Arial" w:hAnsi="Arial" w:cs="Arial"/>
          <w:color w:val="000000" w:themeColor="text1"/>
          <w:sz w:val="24"/>
          <w:szCs w:val="24"/>
        </w:rPr>
        <w:t xml:space="preserve">Facebook </w:t>
      </w:r>
    </w:p>
    <w:p w:rsidR="00206207" w:rsidRPr="009F3E3C" w:rsidRDefault="00206207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9F3E3C">
        <w:rPr>
          <w:rFonts w:ascii="Arial" w:hAnsi="Arial" w:cs="Arial"/>
          <w:color w:val="000000" w:themeColor="text1"/>
          <w:sz w:val="24"/>
          <w:szCs w:val="24"/>
        </w:rPr>
        <w:t>Ibm</w:t>
      </w:r>
      <w:proofErr w:type="spellEnd"/>
    </w:p>
    <w:p w:rsidR="00206207" w:rsidRPr="009F3E3C" w:rsidRDefault="00206207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9F3E3C">
        <w:rPr>
          <w:rFonts w:ascii="Arial" w:hAnsi="Arial" w:cs="Arial"/>
          <w:color w:val="000000" w:themeColor="text1"/>
          <w:sz w:val="24"/>
          <w:szCs w:val="24"/>
        </w:rPr>
        <w:t>Tencent</w:t>
      </w:r>
      <w:proofErr w:type="spellEnd"/>
      <w:r w:rsidRPr="009F3E3C">
        <w:rPr>
          <w:rFonts w:ascii="Arial" w:hAnsi="Arial" w:cs="Arial"/>
          <w:color w:val="000000" w:themeColor="text1"/>
          <w:sz w:val="24"/>
          <w:szCs w:val="24"/>
        </w:rPr>
        <w:t xml:space="preserve"> Holdings</w:t>
      </w:r>
    </w:p>
    <w:p w:rsidR="00992855" w:rsidRDefault="00992855" w:rsidP="002062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F3E3C">
        <w:rPr>
          <w:rFonts w:ascii="Arial" w:hAnsi="Arial" w:cs="Arial"/>
          <w:color w:val="000000" w:themeColor="text1"/>
          <w:sz w:val="24"/>
          <w:szCs w:val="24"/>
        </w:rPr>
        <w:t>Micrón</w:t>
      </w:r>
    </w:p>
    <w:p w:rsidR="001E7922" w:rsidRDefault="001E7922" w:rsidP="001E7922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E7922" w:rsidRDefault="001E7922" w:rsidP="001E7922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E7922" w:rsidRDefault="001E7922" w:rsidP="001E7922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E7922" w:rsidRDefault="001E7922" w:rsidP="001E7922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E7922" w:rsidRDefault="001E7922" w:rsidP="001E7922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E7922" w:rsidRDefault="001E7922" w:rsidP="001E7922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E7922" w:rsidRDefault="001E7922" w:rsidP="001E7922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E7922" w:rsidRDefault="001E7922" w:rsidP="001E7922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E7922" w:rsidRDefault="001E7922" w:rsidP="001E7922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E7922" w:rsidRDefault="001E7922" w:rsidP="001E7922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E7922" w:rsidRPr="009F3E3C" w:rsidRDefault="001E7922" w:rsidP="001E7922">
      <w:pPr>
        <w:pStyle w:val="Prrafodelista"/>
        <w:jc w:val="both"/>
        <w:rPr>
          <w:rFonts w:ascii="Arial" w:hAnsi="Arial" w:cs="Arial"/>
          <w:color w:val="000000" w:themeColor="text1"/>
          <w:sz w:val="24"/>
          <w:szCs w:val="24"/>
        </w:rPr>
      </w:pPr>
      <w:bookmarkStart w:id="0" w:name="_GoBack"/>
      <w:bookmarkEnd w:id="0"/>
    </w:p>
    <w:sdt>
      <w:sdtPr>
        <w:rPr>
          <w:lang w:val="es-ES"/>
        </w:rPr>
        <w:id w:val="1110622482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2"/>
          <w:szCs w:val="22"/>
        </w:rPr>
      </w:sdtEndPr>
      <w:sdtContent>
        <w:p w:rsidR="009F3E3C" w:rsidRPr="009F3E3C" w:rsidRDefault="009F3E3C">
          <w:pPr>
            <w:pStyle w:val="Ttulo1"/>
            <w:rPr>
              <w:lang w:val="es-EC"/>
            </w:rPr>
          </w:pPr>
          <w:r>
            <w:rPr>
              <w:lang w:val="es-ES"/>
            </w:rPr>
            <w:t>Bibliografía</w:t>
          </w:r>
        </w:p>
        <w:sdt>
          <w:sdtPr>
            <w:id w:val="111145805"/>
            <w:bibliography/>
          </w:sdtPr>
          <w:sdtContent>
            <w:p w:rsidR="009F3E3C" w:rsidRDefault="009F3E3C" w:rsidP="009F3E3C">
              <w:pPr>
                <w:pStyle w:val="Bibliografa"/>
                <w:ind w:left="720" w:hanging="720"/>
                <w:rPr>
                  <w:noProof/>
                  <w:sz w:val="24"/>
                  <w:szCs w:val="24"/>
                </w:rPr>
              </w:pPr>
              <w:r>
                <w:fldChar w:fldCharType="begin"/>
              </w:r>
              <w:r>
                <w:instrText>BIBLIOGRAPHY</w:instrText>
              </w:r>
              <w:r>
                <w:fldChar w:fldCharType="separate"/>
              </w:r>
              <w:r>
                <w:rPr>
                  <w:noProof/>
                </w:rPr>
                <w:t xml:space="preserve">Ferrer, E. (junio-agosto de 2013). </w:t>
              </w:r>
              <w:r>
                <w:rPr>
                  <w:i/>
                  <w:iCs/>
                  <w:noProof/>
                </w:rPr>
                <w:t>Revista Razón y Palabra .</w:t>
              </w:r>
              <w:r>
                <w:rPr>
                  <w:noProof/>
                </w:rPr>
                <w:t xml:space="preserve"> Obtenido de www.razonypalabra.org.mx</w:t>
              </w:r>
            </w:p>
            <w:p w:rsidR="009F3E3C" w:rsidRDefault="009F3E3C" w:rsidP="009F3E3C">
              <w:pPr>
                <w:jc w:val="both"/>
                <w:rPr>
                  <w:rStyle w:val="Hipervnculo"/>
                  <w:rFonts w:ascii="Arial" w:hAnsi="Arial" w:cs="Arial"/>
                  <w:sz w:val="24"/>
                  <w:szCs w:val="24"/>
                </w:rPr>
              </w:pPr>
              <w:r>
                <w:rPr>
                  <w:b/>
                  <w:bCs/>
                </w:rPr>
                <w:fldChar w:fldCharType="end"/>
              </w:r>
              <w:hyperlink r:id="rId7" w:history="1">
                <w:r w:rsidRPr="009F3E3C">
                  <w:rPr>
                    <w:rStyle w:val="Hipervnculo"/>
                    <w:rFonts w:ascii="Arial" w:hAnsi="Arial" w:cs="Arial"/>
                    <w:sz w:val="24"/>
                    <w:szCs w:val="24"/>
                  </w:rPr>
                  <w:t>http://www.rts.com.ec/entretenimiento/estas-son-las-empresas-de-tecnologia-mas-grandes-del-mundo-segun-forbes-72203</w:t>
                </w:r>
              </w:hyperlink>
            </w:p>
            <w:p w:rsidR="009F3E3C" w:rsidRDefault="009F3E3C" w:rsidP="009F3E3C"/>
          </w:sdtContent>
        </w:sdt>
      </w:sdtContent>
    </w:sdt>
    <w:p w:rsidR="009F3E3C" w:rsidRPr="009F3E3C" w:rsidRDefault="009F3E3C" w:rsidP="00992855">
      <w:pPr>
        <w:jc w:val="both"/>
        <w:rPr>
          <w:rFonts w:ascii="Arial" w:hAnsi="Arial" w:cs="Arial"/>
          <w:sz w:val="24"/>
          <w:szCs w:val="24"/>
        </w:rPr>
      </w:pPr>
    </w:p>
    <w:p w:rsidR="00206207" w:rsidRPr="009F3E3C" w:rsidRDefault="00206207" w:rsidP="00992855">
      <w:pPr>
        <w:jc w:val="both"/>
        <w:rPr>
          <w:rFonts w:ascii="Arial" w:hAnsi="Arial" w:cs="Arial"/>
          <w:sz w:val="24"/>
          <w:szCs w:val="24"/>
        </w:rPr>
      </w:pPr>
    </w:p>
    <w:p w:rsidR="009F3E3C" w:rsidRDefault="009F3E3C" w:rsidP="00992855">
      <w:pPr>
        <w:jc w:val="both"/>
        <w:rPr>
          <w:rFonts w:ascii="Arial" w:hAnsi="Arial" w:cs="Arial"/>
          <w:sz w:val="24"/>
          <w:szCs w:val="24"/>
        </w:rPr>
      </w:pPr>
    </w:p>
    <w:p w:rsidR="009F3E3C" w:rsidRDefault="009F3E3C" w:rsidP="009F3E3C">
      <w:pPr>
        <w:rPr>
          <w:rFonts w:ascii="Arial" w:hAnsi="Arial" w:cs="Arial"/>
          <w:sz w:val="24"/>
          <w:szCs w:val="24"/>
        </w:rPr>
      </w:pPr>
    </w:p>
    <w:p w:rsidR="00992855" w:rsidRPr="009F3E3C" w:rsidRDefault="00992855" w:rsidP="009F3E3C">
      <w:pPr>
        <w:jc w:val="right"/>
        <w:rPr>
          <w:rFonts w:ascii="Arial" w:hAnsi="Arial" w:cs="Arial"/>
          <w:sz w:val="24"/>
          <w:szCs w:val="24"/>
        </w:rPr>
      </w:pPr>
    </w:p>
    <w:sectPr w:rsidR="00992855" w:rsidRPr="009F3E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51575"/>
    <w:multiLevelType w:val="hybridMultilevel"/>
    <w:tmpl w:val="0C242ECC"/>
    <w:lvl w:ilvl="0" w:tplc="28E8AB3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5C3848"/>
    <w:multiLevelType w:val="hybridMultilevel"/>
    <w:tmpl w:val="E128770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5770988"/>
    <w:multiLevelType w:val="hybridMultilevel"/>
    <w:tmpl w:val="82F2E4A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29449A"/>
    <w:multiLevelType w:val="multilevel"/>
    <w:tmpl w:val="3A8EC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B0B5E23"/>
    <w:multiLevelType w:val="hybridMultilevel"/>
    <w:tmpl w:val="603436BA"/>
    <w:lvl w:ilvl="0" w:tplc="28E8AB3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1F4"/>
    <w:rsid w:val="001E7922"/>
    <w:rsid w:val="00206207"/>
    <w:rsid w:val="004C41F4"/>
    <w:rsid w:val="00712A22"/>
    <w:rsid w:val="007414E6"/>
    <w:rsid w:val="00837E1F"/>
    <w:rsid w:val="009832B4"/>
    <w:rsid w:val="00992855"/>
    <w:rsid w:val="009F3E3C"/>
    <w:rsid w:val="00F7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7ACE7A-B365-459A-8783-D664ABB1C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F3E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41F4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4C41F4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206207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9F3E3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Bibliografa">
    <w:name w:val="Bibliography"/>
    <w:basedOn w:val="Normal"/>
    <w:next w:val="Normal"/>
    <w:uiPriority w:val="37"/>
    <w:unhideWhenUsed/>
    <w:rsid w:val="009F3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37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rts.com.ec/entretenimiento/estas-son-las-empresas-de-tecnologia-mas-grandes-del-mundo-segun-forbes-7220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Fer13</b:Tag>
    <b:SourceType>DocumentFromInternetSite</b:SourceType>
    <b:Guid>{D5EEC6AC-6C16-4AC2-B5DD-8BA766D2A746}</b:Guid>
    <b:Author>
      <b:Author>
        <b:NameList>
          <b:Person>
            <b:Last>Ferrer</b:Last>
            <b:First>Eulalio</b:First>
          </b:Person>
        </b:NameList>
      </b:Author>
    </b:Author>
    <b:Title>Revista Razón y Palabra  </b:Title>
    <b:Year>2013</b:Year>
    <b:Month>junio-agosto</b:Month>
    <b:URL>www.razonypalabra.org.mx</b:URL>
    <b:RefOrder>1</b:RefOrder>
  </b:Source>
</b:Sources>
</file>

<file path=customXml/itemProps1.xml><?xml version="1.0" encoding="utf-8"?>
<ds:datastoreItem xmlns:ds="http://schemas.openxmlformats.org/officeDocument/2006/customXml" ds:itemID="{D496C43B-50FC-4F36-806B-FAA88AE6A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POLOPC</dc:creator>
  <cp:keywords/>
  <dc:description/>
  <cp:lastModifiedBy>Michelle Alejandra Jibaja Narváez</cp:lastModifiedBy>
  <cp:revision>2</cp:revision>
  <dcterms:created xsi:type="dcterms:W3CDTF">2018-08-30T04:21:00Z</dcterms:created>
  <dcterms:modified xsi:type="dcterms:W3CDTF">2018-08-30T04:21:00Z</dcterms:modified>
</cp:coreProperties>
</file>