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9F9" w:rsidRDefault="003349F9" w:rsidP="00637D50">
      <w:pPr>
        <w:shd w:val="clear" w:color="auto" w:fill="FFFFFF" w:themeFill="background1"/>
        <w:jc w:val="both"/>
        <w:rPr>
          <w:rFonts w:ascii="Arial" w:hAnsi="Arial" w:cs="Arial"/>
          <w:b/>
          <w:sz w:val="24"/>
          <w:szCs w:val="24"/>
          <w:lang w:val="es-EC"/>
        </w:rPr>
      </w:pPr>
    </w:p>
    <w:p w:rsidR="00637D50" w:rsidRDefault="00637D50" w:rsidP="00637D50">
      <w:pPr>
        <w:shd w:val="clear" w:color="auto" w:fill="FFFFFF" w:themeFill="background1"/>
        <w:jc w:val="both"/>
        <w:rPr>
          <w:rFonts w:ascii="Arial" w:hAnsi="Arial" w:cs="Arial"/>
          <w:b/>
          <w:sz w:val="24"/>
          <w:szCs w:val="24"/>
          <w:lang w:val="es-EC"/>
        </w:rPr>
      </w:pPr>
      <w:r w:rsidRPr="003349F9">
        <w:rPr>
          <w:rFonts w:ascii="Arial" w:hAnsi="Arial" w:cs="Arial"/>
          <w:b/>
          <w:sz w:val="24"/>
          <w:szCs w:val="24"/>
          <w:lang w:val="es-EC"/>
        </w:rPr>
        <w:t>7.5</w:t>
      </w:r>
      <w:r w:rsidR="003349F9">
        <w:rPr>
          <w:rFonts w:ascii="Arial" w:hAnsi="Arial" w:cs="Arial"/>
          <w:b/>
          <w:sz w:val="24"/>
          <w:szCs w:val="24"/>
          <w:lang w:val="es-EC"/>
        </w:rPr>
        <w:t xml:space="preserve"> ESTUDIO DE LA </w:t>
      </w:r>
      <w:r w:rsidRPr="003349F9">
        <w:rPr>
          <w:rFonts w:ascii="Arial" w:hAnsi="Arial" w:cs="Arial"/>
          <w:b/>
          <w:sz w:val="24"/>
          <w:szCs w:val="24"/>
          <w:lang w:val="es-EC"/>
        </w:rPr>
        <w:t xml:space="preserve">UNION NACIONAL DE TELECOMUNICACIONES </w:t>
      </w:r>
    </w:p>
    <w:p w:rsidR="003349F9" w:rsidRDefault="003349F9" w:rsidP="003349F9">
      <w:pPr>
        <w:shd w:val="clear" w:color="auto" w:fill="FFFFFF" w:themeFill="background1"/>
        <w:spacing w:after="0"/>
        <w:jc w:val="both"/>
        <w:rPr>
          <w:rFonts w:ascii="Arial" w:hAnsi="Arial" w:cs="Arial"/>
          <w:b/>
          <w:sz w:val="24"/>
          <w:szCs w:val="24"/>
          <w:lang w:val="es-EC"/>
        </w:rPr>
      </w:pPr>
      <w:r>
        <w:rPr>
          <w:rFonts w:ascii="Arial" w:hAnsi="Arial" w:cs="Arial"/>
          <w:b/>
          <w:sz w:val="24"/>
          <w:szCs w:val="24"/>
          <w:lang w:val="es-EC"/>
        </w:rPr>
        <w:t>Informe sobre índice metodológico de la Sociedad de la Información 2017</w:t>
      </w:r>
    </w:p>
    <w:p w:rsidR="003349F9" w:rsidRPr="003349F9" w:rsidRDefault="003349F9" w:rsidP="00637D50">
      <w:pPr>
        <w:shd w:val="clear" w:color="auto" w:fill="FFFFFF" w:themeFill="background1"/>
        <w:jc w:val="both"/>
        <w:rPr>
          <w:rFonts w:ascii="Arial" w:hAnsi="Arial" w:cs="Arial"/>
          <w:b/>
          <w:sz w:val="24"/>
          <w:szCs w:val="24"/>
          <w:lang w:val="es-EC"/>
        </w:rPr>
      </w:pPr>
      <w:r>
        <w:rPr>
          <w:rFonts w:ascii="Arial" w:hAnsi="Arial" w:cs="Arial"/>
          <w:b/>
          <w:sz w:val="24"/>
          <w:szCs w:val="24"/>
          <w:lang w:val="es-EC"/>
        </w:rPr>
        <w:t xml:space="preserve">Caso comparativo </w:t>
      </w:r>
      <w:proofErr w:type="spellStart"/>
      <w:r>
        <w:rPr>
          <w:rFonts w:ascii="Arial" w:hAnsi="Arial" w:cs="Arial"/>
          <w:b/>
          <w:sz w:val="24"/>
          <w:szCs w:val="24"/>
          <w:lang w:val="es-EC"/>
        </w:rPr>
        <w:t>Chlile</w:t>
      </w:r>
      <w:proofErr w:type="spellEnd"/>
      <w:r>
        <w:rPr>
          <w:rFonts w:ascii="Arial" w:hAnsi="Arial" w:cs="Arial"/>
          <w:b/>
          <w:sz w:val="24"/>
          <w:szCs w:val="24"/>
          <w:lang w:val="es-EC"/>
        </w:rPr>
        <w:t>-Ecuador</w:t>
      </w:r>
    </w:p>
    <w:p w:rsidR="00F62125" w:rsidRPr="003349F9" w:rsidRDefault="00F62125" w:rsidP="00F62125">
      <w:pPr>
        <w:shd w:val="clear" w:color="auto" w:fill="FFFFFF" w:themeFill="background1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349F9">
        <w:rPr>
          <w:rFonts w:ascii="Arial" w:hAnsi="Arial" w:cs="Arial"/>
          <w:b/>
          <w:sz w:val="24"/>
          <w:szCs w:val="24"/>
          <w:u w:val="single"/>
        </w:rPr>
        <w:t>INDICE METODOLÓGICO</w:t>
      </w:r>
    </w:p>
    <w:p w:rsidR="00F62125" w:rsidRPr="003349F9" w:rsidRDefault="00F62125" w:rsidP="00F62125">
      <w:pPr>
        <w:shd w:val="clear" w:color="auto" w:fill="FFFFFF" w:themeFill="background1"/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t>La metodología  es el resultado de varios análisis estadísticos como el principal componente de estudio, además estos son agrupados por tres subíndices: acceso, uso y herramientas.</w:t>
      </w:r>
    </w:p>
    <w:p w:rsidR="00F62125" w:rsidRPr="003349F9" w:rsidRDefault="00F62125" w:rsidP="00F62125">
      <w:pPr>
        <w:shd w:val="clear" w:color="auto" w:fill="FFFFFF" w:themeFill="background1"/>
        <w:jc w:val="both"/>
        <w:rPr>
          <w:rFonts w:ascii="Arial" w:hAnsi="Arial" w:cs="Arial"/>
          <w:sz w:val="24"/>
          <w:szCs w:val="24"/>
          <w:u w:val="single"/>
        </w:rPr>
      </w:pPr>
      <w:r w:rsidRPr="003349F9">
        <w:rPr>
          <w:rFonts w:ascii="Arial" w:hAnsi="Arial" w:cs="Arial"/>
          <w:sz w:val="24"/>
          <w:szCs w:val="24"/>
        </w:rPr>
        <w:t>Los datos para todos estos indicadores son recolectados por ITU Unión Internacional de las Telecomunicaciones.</w:t>
      </w:r>
    </w:p>
    <w:tbl>
      <w:tblPr>
        <w:tblStyle w:val="Tablaconcuadrcul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58"/>
        <w:gridCol w:w="1418"/>
        <w:gridCol w:w="1134"/>
        <w:gridCol w:w="708"/>
        <w:gridCol w:w="1418"/>
        <w:gridCol w:w="1134"/>
      </w:tblGrid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PAISES</w:t>
            </w:r>
          </w:p>
        </w:tc>
        <w:tc>
          <w:tcPr>
            <w:tcW w:w="3510" w:type="dxa"/>
            <w:gridSpan w:val="3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CHILE</w:t>
            </w:r>
          </w:p>
        </w:tc>
        <w:tc>
          <w:tcPr>
            <w:tcW w:w="3260" w:type="dxa"/>
            <w:gridSpan w:val="3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ECUADOR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UNIDADES DE ANALISIS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AMERICA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EL</w:t>
            </w: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MUNDO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AMERICA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EL MUNDO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TELEFONIA FIJA POR CADA 100 HABITANTES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18,7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24,4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13,6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14,9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24,4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13.6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TELEFONIA CELULAR POR CADA 100 HABITANTES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128,9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114,2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101,5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84.3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114.2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101.5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BANDA ANCHA MOVIL POR 100 HABITANTES)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16,1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19,1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12,4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9,7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19,1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12.4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BANDA ANCHA ACTIVA MOVIL POR 100 HABITANTES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71,5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82,7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52,2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46,7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82,7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52.2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3G COBERTURA (% DE POBLACION)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95,0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93,6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85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87,8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93,6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85.0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LTE/WIMAX COBERTURA (% DE POBLACION)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79,0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77,4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66,5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77,4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66.5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PRECIO DE TELEFONIA CELULAR (%GNI pc)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1,6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3,6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5,2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3.5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3,6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5.2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lastRenderedPageBreak/>
              <w:t>PRECIO DE BANDA ANCHA FIJA (%GNI pc)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2,4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13,9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4,1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6,4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13.9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PRECIO DE BANDA MOVIL FIJA 500MB (%GNI pc)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0,5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2,5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3,7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2,5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3.7</w:t>
            </w:r>
          </w:p>
          <w:p w:rsidR="00F62125" w:rsidRPr="003349F9" w:rsidRDefault="00F62125" w:rsidP="00AB36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62125" w:rsidRPr="003349F9" w:rsidTr="003349F9">
        <w:trPr>
          <w:trHeight w:val="958"/>
        </w:trPr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PRECIO  DE BANDA MOVIL DE 1GB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1,2</w:t>
            </w: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5,7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6,8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2,0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5,7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6.8</w:t>
            </w: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 xml:space="preserve">PORCENTAJES DE HOGARES CON COMPUTADORA 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63,9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64,9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46,6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42,3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64,9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46.6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PORCENTAJE DE HOGARES CON ACCESO A INTERNET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61,1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63,3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51,5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36,0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63,3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51.5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PORCENTAJE DE PERSONAS QUE USAN INTERNET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66,0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64,0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45,9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54.1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64,0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45.9</w:t>
            </w:r>
          </w:p>
        </w:tc>
      </w:tr>
      <w:tr w:rsidR="00F62125" w:rsidRPr="003349F9" w:rsidTr="003349F9">
        <w:tc>
          <w:tcPr>
            <w:tcW w:w="2127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ANCHO DE BANDA DE INTERNET POR USUARIO DE INTERNET (KBITE/S)</w:t>
            </w:r>
          </w:p>
        </w:tc>
        <w:tc>
          <w:tcPr>
            <w:tcW w:w="95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175,6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91,0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74,5</w:t>
            </w:r>
          </w:p>
        </w:tc>
        <w:tc>
          <w:tcPr>
            <w:tcW w:w="70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43,7</w:t>
            </w:r>
          </w:p>
        </w:tc>
        <w:tc>
          <w:tcPr>
            <w:tcW w:w="1418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91,0</w:t>
            </w:r>
          </w:p>
        </w:tc>
        <w:tc>
          <w:tcPr>
            <w:tcW w:w="1134" w:type="dxa"/>
            <w:vAlign w:val="center"/>
          </w:tcPr>
          <w:p w:rsidR="00F62125" w:rsidRPr="003349F9" w:rsidRDefault="00F62125" w:rsidP="00AB366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49F9">
              <w:rPr>
                <w:rFonts w:ascii="Arial" w:hAnsi="Arial" w:cs="Arial"/>
                <w:b/>
                <w:sz w:val="24"/>
                <w:szCs w:val="24"/>
              </w:rPr>
              <w:t>74.5</w:t>
            </w:r>
          </w:p>
        </w:tc>
      </w:tr>
    </w:tbl>
    <w:p w:rsidR="00F62125" w:rsidRPr="003349F9" w:rsidRDefault="0098538D" w:rsidP="00F62125">
      <w:pPr>
        <w:shd w:val="clear" w:color="auto" w:fill="FFFFFF" w:themeFill="background1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3349F9">
        <w:rPr>
          <w:rFonts w:ascii="Arial" w:hAnsi="Arial" w:cs="Arial"/>
          <w:b/>
          <w:i/>
          <w:sz w:val="20"/>
          <w:szCs w:val="20"/>
          <w:u w:val="single"/>
          <w:lang w:val="en-US"/>
        </w:rPr>
        <w:t>Fuente:</w:t>
      </w:r>
      <w:r w:rsidRPr="003349F9">
        <w:rPr>
          <w:rFonts w:ascii="Arial" w:hAnsi="Arial" w:cs="Arial"/>
          <w:b/>
          <w:i/>
          <w:sz w:val="20"/>
          <w:szCs w:val="20"/>
          <w:lang w:val="en-US"/>
        </w:rPr>
        <w:t xml:space="preserve"> Measuring the Information Society Report 2017</w:t>
      </w:r>
      <w:r w:rsidRPr="003349F9">
        <w:rPr>
          <w:rFonts w:ascii="Arial" w:hAnsi="Arial" w:cs="Arial"/>
          <w:b/>
          <w:sz w:val="24"/>
          <w:szCs w:val="24"/>
          <w:lang w:val="en-US"/>
        </w:rPr>
        <w:t>.</w:t>
      </w:r>
    </w:p>
    <w:p w:rsidR="003349F9" w:rsidRDefault="003349F9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349F9">
        <w:rPr>
          <w:rFonts w:ascii="Arial" w:hAnsi="Arial" w:cs="Arial"/>
          <w:b/>
          <w:sz w:val="24"/>
          <w:szCs w:val="24"/>
          <w:u w:val="single"/>
        </w:rPr>
        <w:t>Análisis de la información.-</w:t>
      </w: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t>Chile ha desarrollado el sector de  TELECOM con una promoción a la competencia abierta y fomenta la inversión e innovación tecnológica; el acceso a los servicios de telecomunicaciones son cada vez más demandados y la política de precios hacia la baja, promueve el crecimiento sostenido del sector. Luego del terremoto del 2010, el país desarrollo más redes y coberturas en zonas donde se carecía del servicio y que se evidenció  con el suceso natural.</w:t>
      </w: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lastRenderedPageBreak/>
        <w:t xml:space="preserve">Hay tres grandes competidores que absorben todo el mercado en un oligopolio con dos actores privados que son CLARO (American Móvil) y Movistar (TELEFÓNICA), dejando el resto de la participación del mercado a la empresa pública ENTEL; hay una pequeña operación del mercado que la cubren marcas como MVNO, Falabella Móvil, </w:t>
      </w:r>
      <w:proofErr w:type="spellStart"/>
      <w:r w:rsidRPr="003349F9">
        <w:rPr>
          <w:rFonts w:ascii="Arial" w:hAnsi="Arial" w:cs="Arial"/>
          <w:sz w:val="24"/>
          <w:szCs w:val="24"/>
        </w:rPr>
        <w:t>Virgin</w:t>
      </w:r>
      <w:proofErr w:type="spellEnd"/>
      <w:r w:rsidRPr="003349F9">
        <w:rPr>
          <w:rFonts w:ascii="Arial" w:hAnsi="Arial" w:cs="Arial"/>
          <w:sz w:val="24"/>
          <w:szCs w:val="24"/>
        </w:rPr>
        <w:t xml:space="preserve"> Mobile y </w:t>
      </w:r>
      <w:proofErr w:type="spellStart"/>
      <w:r w:rsidRPr="003349F9">
        <w:rPr>
          <w:rFonts w:ascii="Arial" w:hAnsi="Arial" w:cs="Arial"/>
          <w:sz w:val="24"/>
          <w:szCs w:val="24"/>
        </w:rPr>
        <w:t>Wom</w:t>
      </w:r>
      <w:proofErr w:type="spellEnd"/>
      <w:r w:rsidRPr="003349F9">
        <w:rPr>
          <w:rFonts w:ascii="Arial" w:hAnsi="Arial" w:cs="Arial"/>
          <w:sz w:val="24"/>
          <w:szCs w:val="24"/>
        </w:rPr>
        <w:t xml:space="preserve"> 127, con servicio de redes virtuales móviles   </w:t>
      </w: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t xml:space="preserve"> </w:t>
      </w:r>
    </w:p>
    <w:p w:rsidR="003349F9" w:rsidRPr="003349F9" w:rsidRDefault="003349F9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349F9">
        <w:rPr>
          <w:rFonts w:ascii="Arial" w:hAnsi="Arial" w:cs="Arial"/>
          <w:b/>
          <w:sz w:val="24"/>
          <w:szCs w:val="24"/>
        </w:rPr>
        <w:t>Ecuador vs Chile</w:t>
      </w: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t>El mercado nacional se concentra con dos grandes competidores que acaparan el 80% del mercado, con una pequeña participación de la empresa pública CNT; American Móvil (CLARO) y Telefónica (MOVISTAR), mantienen como principal producto el Post Pago por la creciente demanda al acceso internet móvil, aunque el Pre Pago sigue siendo el más usado.</w:t>
      </w: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</w:p>
    <w:p w:rsidR="00F62125" w:rsidRPr="003349F9" w:rsidRDefault="00F62125" w:rsidP="0098538D">
      <w:pPr>
        <w:shd w:val="clear" w:color="auto" w:fill="FFFFFF" w:themeFill="background1"/>
        <w:spacing w:after="0"/>
        <w:jc w:val="both"/>
        <w:rPr>
          <w:rFonts w:ascii="Arial" w:hAnsi="Arial" w:cs="Arial"/>
          <w:sz w:val="24"/>
          <w:szCs w:val="24"/>
        </w:rPr>
      </w:pPr>
    </w:p>
    <w:p w:rsidR="00BC57C9" w:rsidRDefault="00F62125" w:rsidP="0098538D">
      <w:pPr>
        <w:jc w:val="both"/>
        <w:rPr>
          <w:rFonts w:ascii="Arial" w:hAnsi="Arial" w:cs="Arial"/>
          <w:sz w:val="24"/>
          <w:szCs w:val="24"/>
        </w:rPr>
      </w:pPr>
      <w:r w:rsidRPr="003349F9">
        <w:rPr>
          <w:rFonts w:ascii="Arial" w:hAnsi="Arial" w:cs="Arial"/>
          <w:sz w:val="24"/>
          <w:szCs w:val="24"/>
        </w:rPr>
        <w:t>Ecuador aún tiene que consolidar el acceso a las nuevas tecnologías, con una oferta de fácil alcance a la población con tarifas competitivas como las que registra Chile, con un crecimiento sostenido; otro de los temas pendientes es la apertura del mercado a tecnologías como el 4G que no es explotado en el sector de las telecomunicaciones.</w:t>
      </w:r>
    </w:p>
    <w:p w:rsidR="003349F9" w:rsidRPr="003349F9" w:rsidRDefault="003349F9" w:rsidP="003349F9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  <w:bookmarkStart w:id="0" w:name="_GoBack"/>
      <w:bookmarkEnd w:id="0"/>
    </w:p>
    <w:p w:rsidR="003349F9" w:rsidRDefault="003349F9" w:rsidP="003349F9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  <w:r w:rsidRPr="003349F9">
        <w:rPr>
          <w:rFonts w:ascii="Arial" w:hAnsi="Arial" w:cs="Arial"/>
          <w:b/>
          <w:i/>
          <w:sz w:val="24"/>
          <w:szCs w:val="24"/>
        </w:rPr>
        <w:t xml:space="preserve">Elaborado por </w:t>
      </w:r>
    </w:p>
    <w:p w:rsidR="003349F9" w:rsidRPr="003349F9" w:rsidRDefault="003349F9" w:rsidP="003349F9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  <w:r w:rsidRPr="003349F9">
        <w:rPr>
          <w:rFonts w:ascii="Arial" w:hAnsi="Arial" w:cs="Arial"/>
          <w:b/>
          <w:i/>
          <w:sz w:val="24"/>
          <w:szCs w:val="24"/>
        </w:rPr>
        <w:t>Byron Galarza</w:t>
      </w:r>
    </w:p>
    <w:sectPr w:rsidR="003349F9" w:rsidRPr="003349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A01F7"/>
    <w:multiLevelType w:val="hybridMultilevel"/>
    <w:tmpl w:val="74705BC6"/>
    <w:lvl w:ilvl="0" w:tplc="0C70912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125"/>
    <w:rsid w:val="003349F9"/>
    <w:rsid w:val="00637D50"/>
    <w:rsid w:val="0098538D"/>
    <w:rsid w:val="00BC57C9"/>
    <w:rsid w:val="00F62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2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62125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7D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25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62125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37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 Galarza</dc:creator>
  <cp:lastModifiedBy>Nelson Galarza</cp:lastModifiedBy>
  <cp:revision>2</cp:revision>
  <dcterms:created xsi:type="dcterms:W3CDTF">2018-03-20T03:07:00Z</dcterms:created>
  <dcterms:modified xsi:type="dcterms:W3CDTF">2018-03-20T03:07:00Z</dcterms:modified>
</cp:coreProperties>
</file>