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noProof/>
        </w:rPr>
        <w:drawing>
          <wp:inline distT="114300" distB="114300" distL="114300" distR="114300">
            <wp:extent cx="4348926" cy="1138238"/>
            <wp:effectExtent l="0" t="0" r="0" b="0"/>
            <wp:docPr id="4" name="image8.png" descr="Techorizontalazul (2).png"/>
            <wp:cNvGraphicFramePr/>
            <a:graphic xmlns:a="http://schemas.openxmlformats.org/drawingml/2006/main">
              <a:graphicData uri="http://schemas.openxmlformats.org/drawingml/2006/picture">
                <pic:pic xmlns:pic="http://schemas.openxmlformats.org/drawingml/2006/picture">
                  <pic:nvPicPr>
                    <pic:cNvPr id="0" name="image8.png" descr="Techorizontalazul (2).png"/>
                    <pic:cNvPicPr preferRelativeResize="0"/>
                  </pic:nvPicPr>
                  <pic:blipFill>
                    <a:blip r:embed="rId4"/>
                    <a:srcRect/>
                    <a:stretch>
                      <a:fillRect/>
                    </a:stretch>
                  </pic:blipFill>
                  <pic:spPr>
                    <a:xfrm>
                      <a:off x="0" y="0"/>
                      <a:ext cx="4348926" cy="1138238"/>
                    </a:xfrm>
                    <a:prstGeom prst="rect">
                      <a:avLst/>
                    </a:prstGeom>
                    <a:ln/>
                  </pic:spPr>
                </pic:pic>
              </a:graphicData>
            </a:graphic>
          </wp:inline>
        </w:drawing>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INSTITUTO TECNOLÓGICO DE ESTUDIOS SUPERIORES DE MONTERREY</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CEM</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Relaciones Públicas</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 xml:space="preserve">Dr. Octavio Islas </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Actividad No. 9</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r>
        <w:rPr>
          <w:rFonts w:ascii="Times New Roman" w:eastAsia="Times New Roman" w:hAnsi="Times New Roman" w:cs="Times New Roman"/>
          <w:b/>
          <w:color w:val="444444"/>
          <w:sz w:val="24"/>
          <w:szCs w:val="24"/>
        </w:rPr>
        <w:t xml:space="preserve">Equipo 1  </w:t>
      </w: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color w:val="444444"/>
          <w:sz w:val="24"/>
          <w:szCs w:val="24"/>
        </w:rPr>
      </w:pP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444444"/>
          <w:sz w:val="28"/>
          <w:szCs w:val="28"/>
        </w:rPr>
      </w:pPr>
      <w:r>
        <w:rPr>
          <w:rFonts w:ascii="Times New Roman" w:eastAsia="Times New Roman" w:hAnsi="Times New Roman" w:cs="Times New Roman"/>
          <w:color w:val="444444"/>
          <w:sz w:val="28"/>
          <w:szCs w:val="28"/>
        </w:rPr>
        <w:t xml:space="preserve">Integrantes </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444444"/>
          <w:sz w:val="28"/>
          <w:szCs w:val="28"/>
        </w:rPr>
      </w:pPr>
      <w:r>
        <w:rPr>
          <w:rFonts w:ascii="Times New Roman" w:eastAsia="Times New Roman" w:hAnsi="Times New Roman" w:cs="Times New Roman"/>
          <w:color w:val="444444"/>
          <w:sz w:val="28"/>
          <w:szCs w:val="28"/>
        </w:rPr>
        <w:t xml:space="preserve">Viridiana </w:t>
      </w:r>
      <w:proofErr w:type="spellStart"/>
      <w:r>
        <w:rPr>
          <w:rFonts w:ascii="Times New Roman" w:eastAsia="Times New Roman" w:hAnsi="Times New Roman" w:cs="Times New Roman"/>
          <w:color w:val="444444"/>
          <w:sz w:val="28"/>
          <w:szCs w:val="28"/>
        </w:rPr>
        <w:t>Perez</w:t>
      </w:r>
      <w:proofErr w:type="spellEnd"/>
      <w:r>
        <w:rPr>
          <w:rFonts w:ascii="Times New Roman" w:eastAsia="Times New Roman" w:hAnsi="Times New Roman" w:cs="Times New Roman"/>
          <w:color w:val="444444"/>
          <w:sz w:val="28"/>
          <w:szCs w:val="28"/>
        </w:rPr>
        <w:t xml:space="preserve"> </w:t>
      </w:r>
      <w:proofErr w:type="spellStart"/>
      <w:r>
        <w:rPr>
          <w:rFonts w:ascii="Times New Roman" w:eastAsia="Times New Roman" w:hAnsi="Times New Roman" w:cs="Times New Roman"/>
          <w:color w:val="444444"/>
          <w:sz w:val="28"/>
          <w:szCs w:val="28"/>
        </w:rPr>
        <w:t>Garcia</w:t>
      </w:r>
      <w:proofErr w:type="spellEnd"/>
      <w:r>
        <w:rPr>
          <w:rFonts w:ascii="Times New Roman" w:eastAsia="Times New Roman" w:hAnsi="Times New Roman" w:cs="Times New Roman"/>
          <w:color w:val="444444"/>
          <w:sz w:val="28"/>
          <w:szCs w:val="28"/>
        </w:rPr>
        <w:t xml:space="preserve"> A01332988</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78203C"/>
          <w:sz w:val="28"/>
          <w:szCs w:val="28"/>
          <w:highlight w:val="white"/>
        </w:rPr>
      </w:pPr>
      <w:r>
        <w:rPr>
          <w:rFonts w:ascii="Times New Roman" w:eastAsia="Times New Roman" w:hAnsi="Times New Roman" w:cs="Times New Roman"/>
          <w:color w:val="444444"/>
          <w:sz w:val="28"/>
          <w:szCs w:val="28"/>
          <w:highlight w:val="white"/>
        </w:rPr>
        <w:t xml:space="preserve">Alam Ajitzi Díaz Treviño  A01167672 </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right"/>
        <w:rPr>
          <w:rFonts w:ascii="Times New Roman" w:eastAsia="Times New Roman" w:hAnsi="Times New Roman" w:cs="Times New Roman"/>
          <w:color w:val="78203C"/>
          <w:sz w:val="28"/>
          <w:szCs w:val="28"/>
          <w:highlight w:val="white"/>
        </w:rPr>
      </w:pPr>
      <w:r>
        <w:rPr>
          <w:rFonts w:ascii="Times New Roman" w:eastAsia="Times New Roman" w:hAnsi="Times New Roman" w:cs="Times New Roman"/>
          <w:color w:val="444444"/>
          <w:sz w:val="28"/>
          <w:szCs w:val="28"/>
          <w:highlight w:val="white"/>
        </w:rPr>
        <w:t xml:space="preserve">Norman Alexis </w:t>
      </w:r>
      <w:proofErr w:type="spellStart"/>
      <w:r>
        <w:rPr>
          <w:rFonts w:ascii="Times New Roman" w:eastAsia="Times New Roman" w:hAnsi="Times New Roman" w:cs="Times New Roman"/>
          <w:color w:val="444444"/>
          <w:sz w:val="28"/>
          <w:szCs w:val="28"/>
          <w:highlight w:val="white"/>
        </w:rPr>
        <w:t>Avila</w:t>
      </w:r>
      <w:proofErr w:type="spellEnd"/>
      <w:r>
        <w:rPr>
          <w:rFonts w:ascii="Times New Roman" w:eastAsia="Times New Roman" w:hAnsi="Times New Roman" w:cs="Times New Roman"/>
          <w:color w:val="444444"/>
          <w:sz w:val="28"/>
          <w:szCs w:val="28"/>
          <w:highlight w:val="white"/>
        </w:rPr>
        <w:t xml:space="preserve"> Rojas  A01168138</w:t>
      </w:r>
      <w:r>
        <w:rPr>
          <w:rFonts w:ascii="Times New Roman" w:eastAsia="Times New Roman" w:hAnsi="Times New Roman" w:cs="Times New Roman"/>
          <w:color w:val="78203C"/>
          <w:sz w:val="28"/>
          <w:szCs w:val="28"/>
          <w:highlight w:val="white"/>
        </w:rPr>
        <w:t xml:space="preserve"> </w:t>
      </w: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center"/>
        <w:rPr>
          <w:rFonts w:ascii="Times New Roman" w:eastAsia="Times New Roman" w:hAnsi="Times New Roman" w:cs="Times New Roman"/>
          <w:b/>
          <w:color w:val="444444"/>
          <w:sz w:val="24"/>
          <w:szCs w:val="24"/>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4"/>
          <w:szCs w:val="24"/>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4"/>
          <w:szCs w:val="24"/>
        </w:rPr>
      </w:pP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b/>
          <w:color w:val="444444"/>
          <w:sz w:val="27"/>
          <w:szCs w:val="27"/>
          <w:highlight w:val="white"/>
        </w:rPr>
        <w:lastRenderedPageBreak/>
        <w:t xml:space="preserve">1. Realizar tablas comparativas de las metodologías y variables </w:t>
      </w:r>
      <w:proofErr w:type="gramStart"/>
      <w:r>
        <w:rPr>
          <w:rFonts w:ascii="Times New Roman" w:eastAsia="Times New Roman" w:hAnsi="Times New Roman" w:cs="Times New Roman"/>
          <w:b/>
          <w:color w:val="444444"/>
          <w:sz w:val="27"/>
          <w:szCs w:val="27"/>
          <w:highlight w:val="white"/>
        </w:rPr>
        <w:t>considerados</w:t>
      </w:r>
      <w:proofErr w:type="gramEnd"/>
      <w:r>
        <w:rPr>
          <w:rFonts w:ascii="Times New Roman" w:eastAsia="Times New Roman" w:hAnsi="Times New Roman" w:cs="Times New Roman"/>
          <w:b/>
          <w:color w:val="444444"/>
          <w:sz w:val="27"/>
          <w:szCs w:val="27"/>
          <w:highlight w:val="white"/>
        </w:rPr>
        <w:t xml:space="preserve"> en cada estudio.</w:t>
      </w: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tbl>
      <w:tblPr>
        <w:tblStyle w:val="a"/>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600" w:firstRow="0" w:lastRow="0" w:firstColumn="0" w:lastColumn="0" w:noHBand="1" w:noVBand="1"/>
      </w:tblPr>
      <w:tblGrid>
        <w:gridCol w:w="4514"/>
        <w:gridCol w:w="4515"/>
      </w:tblGrid>
      <w:tr w:rsidR="00A426F9">
        <w:tblPrEx>
          <w:tblCellMar>
            <w:top w:w="0" w:type="dxa"/>
            <w:left w:w="0" w:type="dxa"/>
            <w:bottom w:w="0" w:type="dxa"/>
            <w:right w:w="0" w:type="dxa"/>
          </w:tblCellMar>
        </w:tblPrEx>
        <w:trPr>
          <w:trHeight w:val="460"/>
        </w:trPr>
        <w:tc>
          <w:tcPr>
            <w:tcW w:w="9028" w:type="dxa"/>
            <w:gridSpan w:val="2"/>
            <w:shd w:val="clear" w:color="auto" w:fill="E6B8AF"/>
            <w:tcMar>
              <w:top w:w="100" w:type="dxa"/>
              <w:left w:w="100" w:type="dxa"/>
              <w:bottom w:w="100" w:type="dxa"/>
              <w:right w:w="100" w:type="dxa"/>
            </w:tcMar>
          </w:tcPr>
          <w:p w:rsidR="00A426F9" w:rsidRDefault="00DF5186">
            <w:pPr>
              <w:widowControl w:val="0"/>
              <w:spacing w:line="240" w:lineRule="auto"/>
              <w:jc w:val="center"/>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INTERBRANDS</w:t>
            </w:r>
          </w:p>
        </w:tc>
      </w:tr>
      <w:tr w:rsidR="00A426F9">
        <w:tblPrEx>
          <w:tblCellMar>
            <w:top w:w="0" w:type="dxa"/>
            <w:left w:w="0" w:type="dxa"/>
            <w:bottom w:w="0" w:type="dxa"/>
            <w:right w:w="0" w:type="dxa"/>
          </w:tblCellMar>
        </w:tblPrEx>
        <w:trPr>
          <w:trHeight w:val="460"/>
        </w:trPr>
        <w:tc>
          <w:tcPr>
            <w:tcW w:w="4514" w:type="dxa"/>
            <w:vMerge w:val="restart"/>
            <w:tcMar>
              <w:top w:w="100" w:type="dxa"/>
              <w:left w:w="100" w:type="dxa"/>
              <w:bottom w:w="100" w:type="dxa"/>
              <w:right w:w="100" w:type="dxa"/>
            </w:tcMar>
          </w:tcPr>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color w:val="444444"/>
                <w:sz w:val="36"/>
                <w:szCs w:val="36"/>
                <w:highlight w:val="white"/>
              </w:rPr>
            </w:pPr>
          </w:p>
          <w:p w:rsidR="00A426F9" w:rsidRDefault="00DF5186">
            <w:pPr>
              <w:widowControl w:val="0"/>
              <w:spacing w:line="240" w:lineRule="auto"/>
              <w:jc w:val="center"/>
              <w:rPr>
                <w:rFonts w:ascii="Times New Roman" w:eastAsia="Times New Roman" w:hAnsi="Times New Roman" w:cs="Times New Roman"/>
                <w:color w:val="444444"/>
                <w:sz w:val="36"/>
                <w:szCs w:val="36"/>
                <w:highlight w:val="white"/>
              </w:rPr>
            </w:pPr>
            <w:r>
              <w:rPr>
                <w:rFonts w:ascii="Times New Roman" w:eastAsia="Times New Roman" w:hAnsi="Times New Roman" w:cs="Times New Roman"/>
                <w:color w:val="444444"/>
                <w:sz w:val="36"/>
                <w:szCs w:val="36"/>
                <w:highlight w:val="white"/>
              </w:rPr>
              <w:t xml:space="preserve">Metodología </w:t>
            </w: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 xml:space="preserve">Para ser incluida en </w:t>
            </w:r>
            <w:proofErr w:type="spellStart"/>
            <w:r>
              <w:rPr>
                <w:color w:val="444444"/>
                <w:sz w:val="20"/>
                <w:szCs w:val="20"/>
                <w:highlight w:val="white"/>
              </w:rPr>
              <w:t>Best</w:t>
            </w:r>
            <w:proofErr w:type="spellEnd"/>
            <w:r>
              <w:rPr>
                <w:color w:val="444444"/>
                <w:sz w:val="20"/>
                <w:szCs w:val="20"/>
                <w:highlight w:val="white"/>
              </w:rPr>
              <w:t xml:space="preserve"> Global </w:t>
            </w:r>
            <w:proofErr w:type="spellStart"/>
            <w:r>
              <w:rPr>
                <w:color w:val="444444"/>
                <w:sz w:val="20"/>
                <w:szCs w:val="20"/>
                <w:highlight w:val="white"/>
              </w:rPr>
              <w:t>Brands</w:t>
            </w:r>
            <w:proofErr w:type="spellEnd"/>
            <w:r>
              <w:rPr>
                <w:color w:val="444444"/>
                <w:sz w:val="20"/>
                <w:szCs w:val="20"/>
                <w:highlight w:val="white"/>
              </w:rPr>
              <w:t>, una marca debe ser verdaderamente global, traspasando con éxito las fronteras geográficas y culturales. Se habrá expandido a través de los centros económicos establecidos del mundo y entrará en los principales merca</w:t>
            </w:r>
            <w:r>
              <w:rPr>
                <w:color w:val="444444"/>
                <w:sz w:val="20"/>
                <w:szCs w:val="20"/>
                <w:highlight w:val="white"/>
              </w:rPr>
              <w:t>dos en crecimiento. En términos mensurables, esto requiere que:</w:t>
            </w: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Al menos el 30 por ciento de los ingresos deben provenir de fuera de la región de origen de la marca.</w:t>
            </w: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La marca debe tener una presencia significativa en Asia, Europa y América del Norte, así como una amplia cobertura geográfica en los mercados emergentes.</w:t>
            </w: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Debe haber suficientes datos públicamente disponibles sobre el desempeño financiero de la marca.</w:t>
            </w: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Se espera que el beneficio económico sea positivo a largo plazo, obteniendo un rendimiento por encima del costo de capital de la marca.</w:t>
            </w:r>
          </w:p>
        </w:tc>
      </w:tr>
      <w:tr w:rsidR="00A426F9">
        <w:tblPrEx>
          <w:tblCellMar>
            <w:top w:w="0" w:type="dxa"/>
            <w:left w:w="0" w:type="dxa"/>
            <w:bottom w:w="0" w:type="dxa"/>
            <w:right w:w="0" w:type="dxa"/>
          </w:tblCellMar>
        </w:tblPrEx>
        <w:trPr>
          <w:trHeight w:val="460"/>
        </w:trPr>
        <w:tc>
          <w:tcPr>
            <w:tcW w:w="9028" w:type="dxa"/>
            <w:gridSpan w:val="2"/>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Estos requisitos -que una marca sea global, visible, creciente y relativamente transparente con los resultados financie</w:t>
            </w:r>
            <w:r>
              <w:rPr>
                <w:color w:val="444444"/>
                <w:sz w:val="20"/>
                <w:szCs w:val="20"/>
                <w:highlight w:val="white"/>
              </w:rPr>
              <w:t>ros- explican la exclusión de algunas marcas bien conocidas que de otra manera podrían esperarse que aparezcan en el ranking.</w:t>
            </w:r>
          </w:p>
        </w:tc>
      </w:tr>
    </w:tbl>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tbl>
      <w:tblPr>
        <w:tblStyle w:val="a0"/>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600" w:firstRow="0" w:lastRow="0" w:firstColumn="0" w:lastColumn="0" w:noHBand="1" w:noVBand="1"/>
      </w:tblPr>
      <w:tblGrid>
        <w:gridCol w:w="4514"/>
        <w:gridCol w:w="4515"/>
      </w:tblGrid>
      <w:tr w:rsidR="00A426F9">
        <w:tblPrEx>
          <w:tblCellMar>
            <w:top w:w="0" w:type="dxa"/>
            <w:left w:w="0" w:type="dxa"/>
            <w:bottom w:w="0" w:type="dxa"/>
            <w:right w:w="0" w:type="dxa"/>
          </w:tblCellMar>
        </w:tblPrEx>
        <w:trPr>
          <w:trHeight w:val="460"/>
        </w:trPr>
        <w:tc>
          <w:tcPr>
            <w:tcW w:w="9028" w:type="dxa"/>
            <w:gridSpan w:val="2"/>
            <w:shd w:val="clear" w:color="auto" w:fill="9FC5E8"/>
            <w:tcMar>
              <w:top w:w="100" w:type="dxa"/>
              <w:left w:w="100" w:type="dxa"/>
              <w:bottom w:w="100" w:type="dxa"/>
              <w:right w:w="100" w:type="dxa"/>
            </w:tcMar>
          </w:tcPr>
          <w:p w:rsidR="00A426F9" w:rsidRDefault="00DF5186">
            <w:pPr>
              <w:widowControl w:val="0"/>
              <w:spacing w:line="240" w:lineRule="auto"/>
              <w:jc w:val="center"/>
              <w:rPr>
                <w:rFonts w:ascii="Times New Roman" w:eastAsia="Times New Roman" w:hAnsi="Times New Roman" w:cs="Times New Roman"/>
                <w:color w:val="444444"/>
                <w:sz w:val="36"/>
                <w:szCs w:val="36"/>
              </w:rPr>
            </w:pPr>
            <w:proofErr w:type="spellStart"/>
            <w:r>
              <w:rPr>
                <w:rFonts w:ascii="Times New Roman" w:eastAsia="Times New Roman" w:hAnsi="Times New Roman" w:cs="Times New Roman"/>
                <w:color w:val="444444"/>
                <w:sz w:val="36"/>
                <w:szCs w:val="36"/>
              </w:rPr>
              <w:t>BrandZ</w:t>
            </w:r>
            <w:proofErr w:type="spellEnd"/>
          </w:p>
        </w:tc>
      </w:tr>
      <w:tr w:rsidR="00A426F9">
        <w:tblPrEx>
          <w:tblCellMar>
            <w:top w:w="0" w:type="dxa"/>
            <w:left w:w="0" w:type="dxa"/>
            <w:bottom w:w="0" w:type="dxa"/>
            <w:right w:w="0" w:type="dxa"/>
          </w:tblCellMar>
        </w:tblPrEx>
        <w:trPr>
          <w:trHeight w:val="460"/>
        </w:trPr>
        <w:tc>
          <w:tcPr>
            <w:tcW w:w="4514" w:type="dxa"/>
            <w:vMerge w:val="restart"/>
            <w:tcMar>
              <w:top w:w="100" w:type="dxa"/>
              <w:left w:w="100" w:type="dxa"/>
              <w:bottom w:w="100" w:type="dxa"/>
              <w:right w:w="100" w:type="dxa"/>
            </w:tcMar>
          </w:tcPr>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A426F9">
            <w:pPr>
              <w:widowControl w:val="0"/>
              <w:spacing w:line="240" w:lineRule="auto"/>
              <w:jc w:val="center"/>
              <w:rPr>
                <w:rFonts w:ascii="Times New Roman" w:eastAsia="Times New Roman" w:hAnsi="Times New Roman" w:cs="Times New Roman"/>
                <w:color w:val="444444"/>
                <w:sz w:val="27"/>
                <w:szCs w:val="27"/>
                <w:highlight w:val="white"/>
              </w:rPr>
            </w:pPr>
          </w:p>
          <w:p w:rsidR="00A426F9" w:rsidRDefault="00DF5186">
            <w:pPr>
              <w:widowControl w:val="0"/>
              <w:spacing w:line="240" w:lineRule="auto"/>
              <w:jc w:val="center"/>
              <w:rPr>
                <w:rFonts w:ascii="Times New Roman" w:eastAsia="Times New Roman" w:hAnsi="Times New Roman" w:cs="Times New Roman"/>
                <w:color w:val="444444"/>
                <w:sz w:val="36"/>
                <w:szCs w:val="36"/>
                <w:highlight w:val="white"/>
              </w:rPr>
            </w:pPr>
            <w:r>
              <w:rPr>
                <w:rFonts w:ascii="Times New Roman" w:eastAsia="Times New Roman" w:hAnsi="Times New Roman" w:cs="Times New Roman"/>
                <w:color w:val="444444"/>
                <w:sz w:val="36"/>
                <w:szCs w:val="36"/>
                <w:highlight w:val="white"/>
              </w:rPr>
              <w:t>Metodología</w:t>
            </w: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proofErr w:type="spellStart"/>
            <w:r>
              <w:rPr>
                <w:color w:val="444444"/>
                <w:sz w:val="20"/>
                <w:szCs w:val="20"/>
                <w:highlight w:val="white"/>
              </w:rPr>
              <w:lastRenderedPageBreak/>
              <w:t>BrandZ</w:t>
            </w:r>
            <w:proofErr w:type="spellEnd"/>
            <w:r>
              <w:rPr>
                <w:color w:val="444444"/>
                <w:sz w:val="20"/>
                <w:szCs w:val="20"/>
                <w:highlight w:val="white"/>
              </w:rPr>
              <w:t xml:space="preserve"> utiliza una mezcla de información financiera y encuestas de clientes para llegar a su clasificación para las 100 principales marcas mundiales más valiosas.</w:t>
            </w:r>
          </w:p>
          <w:p w:rsidR="00A426F9" w:rsidRDefault="00DF5186">
            <w:pPr>
              <w:widowControl w:val="0"/>
              <w:spacing w:line="240" w:lineRule="auto"/>
              <w:jc w:val="both"/>
              <w:rPr>
                <w:color w:val="444444"/>
                <w:sz w:val="20"/>
                <w:szCs w:val="20"/>
                <w:highlight w:val="white"/>
              </w:rPr>
            </w:pPr>
            <w:r>
              <w:rPr>
                <w:color w:val="444444"/>
                <w:sz w:val="20"/>
                <w:szCs w:val="20"/>
                <w:highlight w:val="white"/>
              </w:rPr>
              <w:t>La investigación cubre a 3 millones de consumidores y 100.000 marcas en más de 50 mercados. T</w:t>
            </w:r>
            <w:r>
              <w:rPr>
                <w:color w:val="444444"/>
                <w:sz w:val="20"/>
                <w:szCs w:val="20"/>
                <w:highlight w:val="white"/>
              </w:rPr>
              <w:t>res características de una marca están sujetas a medición.</w:t>
            </w:r>
          </w:p>
          <w:p w:rsidR="00A426F9" w:rsidRDefault="00A426F9">
            <w:pPr>
              <w:widowControl w:val="0"/>
              <w:spacing w:line="240" w:lineRule="auto"/>
              <w:jc w:val="both"/>
              <w:rPr>
                <w:color w:val="444444"/>
                <w:sz w:val="20"/>
                <w:szCs w:val="20"/>
                <w:highlight w:val="white"/>
              </w:rPr>
            </w:pP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Primero, qué tan "</w:t>
            </w:r>
            <w:proofErr w:type="spellStart"/>
            <w:r>
              <w:rPr>
                <w:color w:val="444444"/>
                <w:sz w:val="20"/>
                <w:szCs w:val="20"/>
                <w:highlight w:val="white"/>
              </w:rPr>
              <w:t>significativo"es</w:t>
            </w:r>
            <w:proofErr w:type="spellEnd"/>
            <w:r>
              <w:rPr>
                <w:color w:val="444444"/>
                <w:sz w:val="20"/>
                <w:szCs w:val="20"/>
                <w:highlight w:val="white"/>
              </w:rPr>
              <w:t>; El atractivo de la marca, su capacidad para generar "amor" y satisfacer las expectativas y necesidades del consumidor.</w:t>
            </w: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En segundo lugar, qué tan "diferente"</w:t>
            </w:r>
            <w:r>
              <w:rPr>
                <w:color w:val="444444"/>
                <w:sz w:val="20"/>
                <w:szCs w:val="20"/>
                <w:highlight w:val="white"/>
              </w:rPr>
              <w:t xml:space="preserve"> es; Sus características únicas y su capacidad de "establecer las tendencias" para los consumidores.</w:t>
            </w:r>
          </w:p>
          <w:p w:rsidR="00A426F9" w:rsidRDefault="00A426F9">
            <w:pPr>
              <w:widowControl w:val="0"/>
              <w:spacing w:line="240" w:lineRule="auto"/>
              <w:jc w:val="both"/>
              <w:rPr>
                <w:color w:val="444444"/>
                <w:sz w:val="20"/>
                <w:szCs w:val="20"/>
                <w:highlight w:val="white"/>
              </w:rPr>
            </w:pPr>
          </w:p>
        </w:tc>
      </w:tr>
      <w:tr w:rsidR="00A426F9">
        <w:tblPrEx>
          <w:tblCellMar>
            <w:top w:w="0" w:type="dxa"/>
            <w:left w:w="0" w:type="dxa"/>
            <w:bottom w:w="0" w:type="dxa"/>
            <w:right w:w="0" w:type="dxa"/>
          </w:tblCellMar>
        </w:tblPrEx>
        <w:trPr>
          <w:trHeight w:val="460"/>
        </w:trPr>
        <w:tc>
          <w:tcPr>
            <w:tcW w:w="4514" w:type="dxa"/>
            <w:vMerge/>
            <w:tcMar>
              <w:top w:w="100" w:type="dxa"/>
              <w:left w:w="100" w:type="dxa"/>
              <w:bottom w:w="100" w:type="dxa"/>
              <w:right w:w="100" w:type="dxa"/>
            </w:tcMar>
          </w:tcPr>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c>
          <w:tcPr>
            <w:tcW w:w="4514" w:type="dxa"/>
            <w:tcMar>
              <w:top w:w="100" w:type="dxa"/>
              <w:left w:w="100" w:type="dxa"/>
              <w:bottom w:w="100" w:type="dxa"/>
              <w:right w:w="100" w:type="dxa"/>
            </w:tcMar>
          </w:tcPr>
          <w:p w:rsidR="00A426F9" w:rsidRDefault="00DF5186">
            <w:pPr>
              <w:widowControl w:val="0"/>
              <w:spacing w:line="240" w:lineRule="auto"/>
              <w:jc w:val="both"/>
              <w:rPr>
                <w:color w:val="444444"/>
                <w:sz w:val="20"/>
                <w:szCs w:val="20"/>
                <w:highlight w:val="white"/>
              </w:rPr>
            </w:pPr>
            <w:r>
              <w:rPr>
                <w:color w:val="444444"/>
                <w:sz w:val="20"/>
                <w:szCs w:val="20"/>
                <w:highlight w:val="white"/>
              </w:rPr>
              <w:t>En tercer lugar, la investigación mide la importancia de la marca; Que es si se viene a la mente como la marca de elección del consumidor. La informació</w:t>
            </w:r>
            <w:r>
              <w:rPr>
                <w:color w:val="444444"/>
                <w:sz w:val="20"/>
                <w:szCs w:val="20"/>
                <w:highlight w:val="white"/>
              </w:rPr>
              <w:t>n financiera utilizada como insumo para la valoración se basa en lo que gana cada empresa. Si la empresa posee sólo una marca, todas sus ganancias se atribuyen a esa marca.</w:t>
            </w:r>
          </w:p>
          <w:p w:rsidR="00A426F9" w:rsidRDefault="00A426F9">
            <w:pPr>
              <w:widowControl w:val="0"/>
              <w:spacing w:line="240" w:lineRule="auto"/>
              <w:jc w:val="both"/>
              <w:rPr>
                <w:color w:val="444444"/>
                <w:sz w:val="20"/>
                <w:szCs w:val="20"/>
                <w:highlight w:val="white"/>
              </w:rPr>
            </w:pPr>
          </w:p>
        </w:tc>
      </w:tr>
    </w:tbl>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tbl>
      <w:tblPr>
        <w:tblStyle w:val="a2"/>
        <w:tblW w:w="8931" w:type="dxa"/>
        <w:tblInd w:w="100" w:type="dxa"/>
        <w:tblBorders>
          <w:top w:val="nil"/>
          <w:left w:val="nil"/>
          <w:bottom w:val="nil"/>
          <w:right w:val="nil"/>
          <w:insideH w:val="nil"/>
          <w:insideV w:val="nil"/>
        </w:tblBorders>
        <w:tblLayout w:type="fixed"/>
        <w:tblCellMar>
          <w:top w:w="0" w:type="dxa"/>
          <w:left w:w="0" w:type="dxa"/>
          <w:bottom w:w="0" w:type="dxa"/>
          <w:right w:w="0" w:type="dxa"/>
        </w:tblCellMar>
        <w:tblLook w:val="0600" w:firstRow="0" w:lastRow="0" w:firstColumn="0" w:lastColumn="0" w:noHBand="1" w:noVBand="1"/>
      </w:tblPr>
      <w:tblGrid>
        <w:gridCol w:w="8931"/>
      </w:tblGrid>
      <w:tr w:rsidR="00A426F9" w:rsidTr="006D5532">
        <w:tblPrEx>
          <w:tblCellMar>
            <w:top w:w="0" w:type="dxa"/>
            <w:left w:w="0" w:type="dxa"/>
            <w:bottom w:w="0" w:type="dxa"/>
            <w:right w:w="0" w:type="dxa"/>
          </w:tblCellMar>
        </w:tblPrEx>
        <w:trPr>
          <w:trHeight w:val="660"/>
        </w:trPr>
        <w:tc>
          <w:tcPr>
            <w:tcW w:w="8931" w:type="dxa"/>
            <w:tcBorders>
              <w:top w:val="nil"/>
              <w:left w:val="nil"/>
              <w:bottom w:val="nil"/>
              <w:right w:val="nil"/>
            </w:tcBorders>
            <w:tcMar>
              <w:top w:w="100" w:type="dxa"/>
              <w:left w:w="100" w:type="dxa"/>
              <w:bottom w:w="100" w:type="dxa"/>
              <w:right w:w="100" w:type="dxa"/>
            </w:tcMar>
          </w:tcPr>
          <w:p w:rsidR="00A426F9" w:rsidRDefault="00A426F9">
            <w:pPr>
              <w:widowControl w:val="0"/>
              <w:rPr>
                <w:rFonts w:ascii="Times New Roman" w:eastAsia="Times New Roman" w:hAnsi="Times New Roman" w:cs="Times New Roman"/>
                <w:b/>
                <w:color w:val="444444"/>
                <w:sz w:val="27"/>
                <w:szCs w:val="27"/>
                <w:highlight w:val="white"/>
              </w:rPr>
            </w:pPr>
          </w:p>
          <w:tbl>
            <w:tblPr>
              <w:tblStyle w:val="a1"/>
              <w:tblW w:w="896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600" w:firstRow="0" w:lastRow="0" w:firstColumn="0" w:lastColumn="0" w:noHBand="1" w:noVBand="1"/>
            </w:tblPr>
            <w:tblGrid>
              <w:gridCol w:w="1404"/>
              <w:gridCol w:w="7558"/>
            </w:tblGrid>
            <w:tr w:rsidR="00A426F9" w:rsidTr="006D5532">
              <w:tblPrEx>
                <w:tblCellMar>
                  <w:top w:w="0" w:type="dxa"/>
                  <w:left w:w="0" w:type="dxa"/>
                  <w:bottom w:w="0" w:type="dxa"/>
                  <w:right w:w="0" w:type="dxa"/>
                </w:tblCellMar>
              </w:tblPrEx>
              <w:trPr>
                <w:trHeight w:val="460"/>
              </w:trPr>
              <w:tc>
                <w:tcPr>
                  <w:tcW w:w="8962" w:type="dxa"/>
                  <w:gridSpan w:val="2"/>
                  <w:shd w:val="clear" w:color="auto" w:fill="B4A7D6"/>
                  <w:tcMar>
                    <w:top w:w="100" w:type="dxa"/>
                    <w:left w:w="100" w:type="dxa"/>
                    <w:bottom w:w="100" w:type="dxa"/>
                    <w:right w:w="100" w:type="dxa"/>
                  </w:tcMar>
                </w:tcPr>
                <w:p w:rsidR="00A426F9" w:rsidRDefault="00DF5186">
                  <w:pPr>
                    <w:widowControl w:val="0"/>
                    <w:spacing w:line="240" w:lineRule="auto"/>
                    <w:jc w:val="center"/>
                    <w:rPr>
                      <w:color w:val="444444"/>
                      <w:sz w:val="36"/>
                      <w:szCs w:val="36"/>
                    </w:rPr>
                  </w:pPr>
                  <w:r>
                    <w:rPr>
                      <w:color w:val="444444"/>
                      <w:sz w:val="36"/>
                      <w:szCs w:val="36"/>
                    </w:rPr>
                    <w:t>Forbes</w:t>
                  </w:r>
                </w:p>
              </w:tc>
            </w:tr>
            <w:tr w:rsidR="00A426F9" w:rsidTr="006D5532">
              <w:tblPrEx>
                <w:tblCellMar>
                  <w:top w:w="0" w:type="dxa"/>
                  <w:left w:w="0" w:type="dxa"/>
                  <w:bottom w:w="0" w:type="dxa"/>
                  <w:right w:w="0" w:type="dxa"/>
                </w:tblCellMar>
              </w:tblPrEx>
              <w:tc>
                <w:tcPr>
                  <w:tcW w:w="1404" w:type="dxa"/>
                  <w:tcMar>
                    <w:top w:w="100" w:type="dxa"/>
                    <w:left w:w="100" w:type="dxa"/>
                    <w:bottom w:w="100" w:type="dxa"/>
                    <w:right w:w="100" w:type="dxa"/>
                  </w:tcMar>
                </w:tcPr>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A426F9">
                  <w:pPr>
                    <w:widowControl w:val="0"/>
                    <w:spacing w:line="240" w:lineRule="auto"/>
                    <w:jc w:val="center"/>
                    <w:rPr>
                      <w:rFonts w:ascii="Times New Roman" w:eastAsia="Times New Roman" w:hAnsi="Times New Roman" w:cs="Times New Roman"/>
                      <w:color w:val="444444"/>
                      <w:sz w:val="36"/>
                      <w:szCs w:val="36"/>
                      <w:highlight w:val="white"/>
                    </w:rPr>
                  </w:pPr>
                </w:p>
                <w:p w:rsidR="00A426F9" w:rsidRDefault="00DF5186">
                  <w:pPr>
                    <w:widowControl w:val="0"/>
                    <w:spacing w:line="240" w:lineRule="auto"/>
                    <w:jc w:val="center"/>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color w:val="444444"/>
                      <w:sz w:val="36"/>
                      <w:szCs w:val="36"/>
                      <w:highlight w:val="white"/>
                    </w:rPr>
                    <w:t>Metodología</w:t>
                  </w:r>
                </w:p>
              </w:tc>
              <w:tc>
                <w:tcPr>
                  <w:tcW w:w="7558"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 xml:space="preserve">Comienza con un universo de más de 200 marcas globales. Es requerido </w:t>
                  </w:r>
                  <w:proofErr w:type="spellStart"/>
                  <w:r>
                    <w:rPr>
                      <w:color w:val="444444"/>
                      <w:sz w:val="20"/>
                      <w:szCs w:val="20"/>
                      <w:highlight w:val="white"/>
                    </w:rPr>
                    <w:t>requerido</w:t>
                  </w:r>
                  <w:proofErr w:type="spellEnd"/>
                  <w:r>
                    <w:rPr>
                      <w:color w:val="444444"/>
                      <w:sz w:val="20"/>
                      <w:szCs w:val="20"/>
                      <w:highlight w:val="white"/>
                    </w:rPr>
                    <w:t xml:space="preserve"> que las marcas tengan más de una presencia simbólica en los Estados Unidos, lo que elimina algunas grandes marcas como la multinacional de telecomunicaciones Vodafone y el gigan</w:t>
                  </w:r>
                  <w:r>
                    <w:rPr>
                      <w:color w:val="444444"/>
                      <w:sz w:val="20"/>
                      <w:szCs w:val="20"/>
                      <w:highlight w:val="white"/>
                    </w:rPr>
                    <w:t xml:space="preserve">te chino de comercio electrónico </w:t>
                  </w:r>
                  <w:proofErr w:type="spellStart"/>
                  <w:r>
                    <w:rPr>
                      <w:color w:val="444444"/>
                      <w:sz w:val="20"/>
                      <w:szCs w:val="20"/>
                      <w:highlight w:val="white"/>
                    </w:rPr>
                    <w:t>Alibaba</w:t>
                  </w:r>
                  <w:proofErr w:type="spellEnd"/>
                  <w:r>
                    <w:rPr>
                      <w:color w:val="444444"/>
                      <w:sz w:val="20"/>
                      <w:szCs w:val="20"/>
                      <w:highlight w:val="white"/>
                    </w:rPr>
                    <w:t>.</w:t>
                  </w:r>
                </w:p>
                <w:p w:rsidR="00A426F9" w:rsidRDefault="00A426F9">
                  <w:pPr>
                    <w:widowControl w:val="0"/>
                    <w:spacing w:line="240" w:lineRule="auto"/>
                    <w:rPr>
                      <w:color w:val="444444"/>
                      <w:sz w:val="20"/>
                      <w:szCs w:val="20"/>
                      <w:highlight w:val="white"/>
                    </w:rPr>
                  </w:pPr>
                </w:p>
                <w:p w:rsidR="00A426F9" w:rsidRDefault="00DF5186">
                  <w:pPr>
                    <w:widowControl w:val="0"/>
                    <w:spacing w:line="240" w:lineRule="auto"/>
                    <w:rPr>
                      <w:color w:val="444444"/>
                      <w:sz w:val="20"/>
                      <w:szCs w:val="20"/>
                      <w:highlight w:val="white"/>
                    </w:rPr>
                  </w:pPr>
                  <w:r>
                    <w:rPr>
                      <w:color w:val="444444"/>
                      <w:sz w:val="20"/>
                      <w:szCs w:val="20"/>
                      <w:highlight w:val="white"/>
                    </w:rPr>
                    <w:t xml:space="preserve">El primer paso en la valoración de las marcas es determinar los ingresos y ganancias antes que los intereses e impuestos para cada marca. Estos informes se </w:t>
                  </w:r>
                  <w:proofErr w:type="spellStart"/>
                  <w:r>
                    <w:rPr>
                      <w:color w:val="444444"/>
                      <w:sz w:val="20"/>
                      <w:szCs w:val="20"/>
                      <w:highlight w:val="white"/>
                    </w:rPr>
                    <w:t>reunen</w:t>
                  </w:r>
                  <w:proofErr w:type="spellEnd"/>
                  <w:r>
                    <w:rPr>
                      <w:color w:val="444444"/>
                      <w:sz w:val="20"/>
                      <w:szCs w:val="20"/>
                      <w:highlight w:val="white"/>
                    </w:rPr>
                    <w:t xml:space="preserve"> de la empresa, la investigación de Wall Street y e</w:t>
                  </w:r>
                  <w:r>
                    <w:rPr>
                      <w:color w:val="444444"/>
                      <w:sz w:val="20"/>
                      <w:szCs w:val="20"/>
                      <w:highlight w:val="white"/>
                    </w:rPr>
                    <w:t xml:space="preserve">xpertos de la industria. </w:t>
                  </w:r>
                </w:p>
                <w:p w:rsidR="00A426F9" w:rsidRDefault="00A426F9">
                  <w:pPr>
                    <w:widowControl w:val="0"/>
                    <w:spacing w:line="240" w:lineRule="auto"/>
                    <w:rPr>
                      <w:color w:val="444444"/>
                      <w:sz w:val="20"/>
                      <w:szCs w:val="20"/>
                      <w:highlight w:val="white"/>
                    </w:rPr>
                  </w:pPr>
                </w:p>
                <w:p w:rsidR="00A426F9" w:rsidRDefault="00DF5186">
                  <w:pPr>
                    <w:widowControl w:val="0"/>
                    <w:spacing w:line="240" w:lineRule="auto"/>
                    <w:rPr>
                      <w:color w:val="444444"/>
                      <w:sz w:val="20"/>
                      <w:szCs w:val="20"/>
                      <w:highlight w:val="white"/>
                    </w:rPr>
                  </w:pPr>
                  <w:r>
                    <w:rPr>
                      <w:color w:val="444444"/>
                      <w:sz w:val="20"/>
                      <w:szCs w:val="20"/>
                      <w:highlight w:val="white"/>
                    </w:rPr>
                    <w:t xml:space="preserve">Forbes promedio el beneficio antes que intereses e impuestos (EBIT) en los últimos tres años y restó de las ganancias un cargo del 8% del capital de la marca empleado, calculando que una marca genérica debería ser capaz de ganar </w:t>
                  </w:r>
                  <w:r>
                    <w:rPr>
                      <w:color w:val="444444"/>
                      <w:sz w:val="20"/>
                      <w:szCs w:val="20"/>
                      <w:highlight w:val="white"/>
                    </w:rPr>
                    <w:t>al menos un 8% en este capital.</w:t>
                  </w:r>
                </w:p>
                <w:p w:rsidR="00A426F9" w:rsidRDefault="00A426F9">
                  <w:pPr>
                    <w:widowControl w:val="0"/>
                    <w:spacing w:line="240" w:lineRule="auto"/>
                    <w:rPr>
                      <w:rFonts w:ascii="Times New Roman" w:eastAsia="Times New Roman" w:hAnsi="Times New Roman" w:cs="Times New Roman"/>
                      <w:b/>
                      <w:color w:val="444444"/>
                      <w:sz w:val="27"/>
                      <w:szCs w:val="27"/>
                      <w:highlight w:val="white"/>
                    </w:rPr>
                  </w:pPr>
                </w:p>
              </w:tc>
            </w:tr>
            <w:tr w:rsidR="00A426F9" w:rsidTr="006D5532">
              <w:tblPrEx>
                <w:tblCellMar>
                  <w:top w:w="0" w:type="dxa"/>
                  <w:left w:w="0" w:type="dxa"/>
                  <w:bottom w:w="0" w:type="dxa"/>
                  <w:right w:w="0" w:type="dxa"/>
                </w:tblCellMar>
              </w:tblPrEx>
              <w:trPr>
                <w:trHeight w:val="560"/>
              </w:trPr>
              <w:tc>
                <w:tcPr>
                  <w:tcW w:w="8962" w:type="dxa"/>
                  <w:gridSpan w:val="2"/>
                  <w:tcMar>
                    <w:top w:w="100" w:type="dxa"/>
                    <w:left w:w="100" w:type="dxa"/>
                    <w:bottom w:w="100" w:type="dxa"/>
                    <w:right w:w="100" w:type="dxa"/>
                  </w:tcMar>
                </w:tcPr>
                <w:p w:rsidR="00A426F9" w:rsidRDefault="00DF5186">
                  <w:pPr>
                    <w:widowControl w:val="0"/>
                    <w:spacing w:line="240" w:lineRule="auto"/>
                    <w:jc w:val="center"/>
                    <w:rPr>
                      <w:sz w:val="20"/>
                      <w:szCs w:val="20"/>
                      <w:highlight w:val="white"/>
                    </w:rPr>
                  </w:pPr>
                  <w:r>
                    <w:rPr>
                      <w:sz w:val="20"/>
                      <w:szCs w:val="20"/>
                      <w:highlight w:val="white"/>
                    </w:rPr>
                    <w:t>Forbes ha medido las marcas más valiosas del mundo mirando los números financieros. Las marcas más valiosas son las que generan ganancias masivas en industrias donde la marca juega un papel importante.</w:t>
                  </w:r>
                </w:p>
              </w:tc>
            </w:tr>
          </w:tbl>
          <w:p w:rsidR="00A426F9" w:rsidRDefault="00A426F9">
            <w:pPr>
              <w:widowControl w:val="0"/>
              <w:rPr>
                <w:rFonts w:ascii="Times New Roman" w:eastAsia="Times New Roman" w:hAnsi="Times New Roman" w:cs="Times New Roman"/>
                <w:b/>
                <w:color w:val="444444"/>
                <w:sz w:val="27"/>
                <w:szCs w:val="27"/>
                <w:highlight w:val="white"/>
              </w:rPr>
            </w:pPr>
          </w:p>
        </w:tc>
      </w:tr>
    </w:tbl>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b/>
          <w:color w:val="444444"/>
          <w:sz w:val="27"/>
          <w:szCs w:val="27"/>
          <w:highlight w:val="white"/>
        </w:rPr>
        <w:lastRenderedPageBreak/>
        <w:t>2. Realizar un listado de las 10 marcas más valiosas del mundo según cada estudio y cada año.</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noProof/>
        </w:rPr>
        <w:drawing>
          <wp:inline distT="114300" distB="114300" distL="114300" distR="114300">
            <wp:extent cx="1952625" cy="5538470"/>
            <wp:effectExtent l="0" t="0" r="9525" b="5080"/>
            <wp:docPr id="3" name="image6.png" descr="Captura de pantalla 2017-06-19 a la(s) 1.07.48 PM.png"/>
            <wp:cNvGraphicFramePr/>
            <a:graphic xmlns:a="http://schemas.openxmlformats.org/drawingml/2006/main">
              <a:graphicData uri="http://schemas.openxmlformats.org/drawingml/2006/picture">
                <pic:pic xmlns:pic="http://schemas.openxmlformats.org/drawingml/2006/picture">
                  <pic:nvPicPr>
                    <pic:cNvPr id="0" name="image6.png" descr="Captura de pantalla 2017-06-19 a la(s) 1.07.48 PM.png"/>
                    <pic:cNvPicPr preferRelativeResize="0"/>
                  </pic:nvPicPr>
                  <pic:blipFill>
                    <a:blip r:embed="rId5"/>
                    <a:srcRect/>
                    <a:stretch>
                      <a:fillRect/>
                    </a:stretch>
                  </pic:blipFill>
                  <pic:spPr>
                    <a:xfrm>
                      <a:off x="0" y="0"/>
                      <a:ext cx="1952737" cy="5538788"/>
                    </a:xfrm>
                    <a:prstGeom prst="rect">
                      <a:avLst/>
                    </a:prstGeom>
                    <a:ln/>
                  </pic:spPr>
                </pic:pic>
              </a:graphicData>
            </a:graphic>
          </wp:inline>
        </w:drawing>
      </w:r>
      <w:r>
        <w:rPr>
          <w:rFonts w:ascii="Times New Roman" w:eastAsia="Times New Roman" w:hAnsi="Times New Roman" w:cs="Times New Roman"/>
          <w:b/>
          <w:color w:val="444444"/>
          <w:sz w:val="27"/>
          <w:szCs w:val="27"/>
          <w:highlight w:val="white"/>
        </w:rPr>
        <w:t xml:space="preserve"> </w:t>
      </w:r>
      <w:r>
        <w:rPr>
          <w:noProof/>
        </w:rPr>
        <w:drawing>
          <wp:inline distT="114300" distB="114300" distL="114300" distR="114300">
            <wp:extent cx="1838325" cy="5528945"/>
            <wp:effectExtent l="0" t="0" r="9525" b="0"/>
            <wp:docPr id="2" name="image4.png" descr="Captura de pantalla 2017-06-19 a la(s) 1.08.46 PM.png"/>
            <wp:cNvGraphicFramePr/>
            <a:graphic xmlns:a="http://schemas.openxmlformats.org/drawingml/2006/main">
              <a:graphicData uri="http://schemas.openxmlformats.org/drawingml/2006/picture">
                <pic:pic xmlns:pic="http://schemas.openxmlformats.org/drawingml/2006/picture">
                  <pic:nvPicPr>
                    <pic:cNvPr id="0" name="image4.png" descr="Captura de pantalla 2017-06-19 a la(s) 1.08.46 PM.png"/>
                    <pic:cNvPicPr preferRelativeResize="0"/>
                  </pic:nvPicPr>
                  <pic:blipFill>
                    <a:blip r:embed="rId6"/>
                    <a:srcRect/>
                    <a:stretch>
                      <a:fillRect/>
                    </a:stretch>
                  </pic:blipFill>
                  <pic:spPr>
                    <a:xfrm>
                      <a:off x="0" y="0"/>
                      <a:ext cx="1838434" cy="5529273"/>
                    </a:xfrm>
                    <a:prstGeom prst="rect">
                      <a:avLst/>
                    </a:prstGeom>
                    <a:ln/>
                  </pic:spPr>
                </pic:pic>
              </a:graphicData>
            </a:graphic>
          </wp:inline>
        </w:drawing>
      </w:r>
      <w:r>
        <w:rPr>
          <w:noProof/>
        </w:rPr>
        <w:drawing>
          <wp:inline distT="114300" distB="114300" distL="114300" distR="114300">
            <wp:extent cx="1800225" cy="5534025"/>
            <wp:effectExtent l="0" t="0" r="9525" b="9525"/>
            <wp:docPr id="1" name="image2.png" descr="Captura de pantalla 2017-06-19 a la(s) 1.10.47 PM.png"/>
            <wp:cNvGraphicFramePr/>
            <a:graphic xmlns:a="http://schemas.openxmlformats.org/drawingml/2006/main">
              <a:graphicData uri="http://schemas.openxmlformats.org/drawingml/2006/picture">
                <pic:pic xmlns:pic="http://schemas.openxmlformats.org/drawingml/2006/picture">
                  <pic:nvPicPr>
                    <pic:cNvPr id="0" name="image2.png" descr="Captura de pantalla 2017-06-19 a la(s) 1.10.47 PM.png"/>
                    <pic:cNvPicPr preferRelativeResize="0"/>
                  </pic:nvPicPr>
                  <pic:blipFill>
                    <a:blip r:embed="rId7"/>
                    <a:srcRect/>
                    <a:stretch>
                      <a:fillRect/>
                    </a:stretch>
                  </pic:blipFill>
                  <pic:spPr>
                    <a:xfrm>
                      <a:off x="0" y="0"/>
                      <a:ext cx="1800225" cy="5534025"/>
                    </a:xfrm>
                    <a:prstGeom prst="rect">
                      <a:avLst/>
                    </a:prstGeom>
                    <a:ln/>
                  </pic:spPr>
                </pic:pic>
              </a:graphicData>
            </a:graphic>
          </wp:inline>
        </w:drawing>
      </w: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b/>
          <w:color w:val="444444"/>
          <w:sz w:val="27"/>
          <w:szCs w:val="27"/>
          <w:highlight w:val="white"/>
        </w:rPr>
        <w:lastRenderedPageBreak/>
        <w:t xml:space="preserve">3. Del </w:t>
      </w:r>
      <w:r>
        <w:rPr>
          <w:rFonts w:ascii="Times New Roman" w:eastAsia="Times New Roman" w:hAnsi="Times New Roman" w:cs="Times New Roman"/>
          <w:b/>
          <w:i/>
          <w:color w:val="444444"/>
          <w:sz w:val="27"/>
          <w:szCs w:val="27"/>
          <w:highlight w:val="white"/>
        </w:rPr>
        <w:t>top ten</w:t>
      </w:r>
      <w:r>
        <w:rPr>
          <w:rFonts w:ascii="Times New Roman" w:eastAsia="Times New Roman" w:hAnsi="Times New Roman" w:cs="Times New Roman"/>
          <w:b/>
          <w:color w:val="444444"/>
          <w:sz w:val="27"/>
          <w:szCs w:val="27"/>
          <w:highlight w:val="white"/>
        </w:rPr>
        <w:t xml:space="preserve"> de las marcas más valiosas, identificar cuáles marcas son distintivas del desarrollo de la sociedad de la información y el conocimiento (</w:t>
      </w:r>
      <w:proofErr w:type="spellStart"/>
      <w:r>
        <w:rPr>
          <w:rFonts w:ascii="Times New Roman" w:eastAsia="Times New Roman" w:hAnsi="Times New Roman" w:cs="Times New Roman"/>
          <w:b/>
          <w:color w:val="444444"/>
          <w:sz w:val="27"/>
          <w:szCs w:val="27"/>
          <w:highlight w:val="white"/>
        </w:rPr>
        <w:t>TICs</w:t>
      </w:r>
      <w:proofErr w:type="spellEnd"/>
      <w:r>
        <w:rPr>
          <w:rFonts w:ascii="Times New Roman" w:eastAsia="Times New Roman" w:hAnsi="Times New Roman" w:cs="Times New Roman"/>
          <w:b/>
          <w:color w:val="444444"/>
          <w:sz w:val="27"/>
          <w:szCs w:val="27"/>
          <w:highlight w:val="white"/>
        </w:rPr>
        <w:t xml:space="preserve"> e Internet) -cada año también-.</w:t>
      </w:r>
    </w:p>
    <w:tbl>
      <w:tblPr>
        <w:tblStyle w:val="a3"/>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600" w:firstRow="0" w:lastRow="0" w:firstColumn="0" w:lastColumn="0" w:noHBand="1" w:noVBand="1"/>
      </w:tblPr>
      <w:tblGrid>
        <w:gridCol w:w="3009"/>
        <w:gridCol w:w="3010"/>
        <w:gridCol w:w="3010"/>
      </w:tblGrid>
      <w:tr w:rsidR="00A426F9">
        <w:tblPrEx>
          <w:tblCellMar>
            <w:top w:w="0" w:type="dxa"/>
            <w:left w:w="0" w:type="dxa"/>
            <w:bottom w:w="0" w:type="dxa"/>
            <w:right w:w="0" w:type="dxa"/>
          </w:tblCellMar>
        </w:tblPrEx>
        <w:tc>
          <w:tcPr>
            <w:tcW w:w="3009" w:type="dxa"/>
            <w:shd w:val="clear" w:color="auto" w:fill="A64D79"/>
            <w:tcMar>
              <w:top w:w="100" w:type="dxa"/>
              <w:left w:w="100" w:type="dxa"/>
              <w:bottom w:w="100" w:type="dxa"/>
              <w:right w:w="100" w:type="dxa"/>
            </w:tcMar>
          </w:tcPr>
          <w:p w:rsidR="00A426F9" w:rsidRDefault="00DF5186">
            <w:pPr>
              <w:widowControl w:val="0"/>
              <w:spacing w:line="240"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Marcas 2014</w:t>
            </w:r>
          </w:p>
        </w:tc>
        <w:tc>
          <w:tcPr>
            <w:tcW w:w="3009" w:type="dxa"/>
            <w:shd w:val="clear" w:color="auto" w:fill="C27BA0"/>
            <w:tcMar>
              <w:top w:w="100" w:type="dxa"/>
              <w:left w:w="100" w:type="dxa"/>
              <w:bottom w:w="100" w:type="dxa"/>
              <w:right w:w="100" w:type="dxa"/>
            </w:tcMar>
          </w:tcPr>
          <w:p w:rsidR="00A426F9" w:rsidRDefault="00DF5186">
            <w:pPr>
              <w:widowControl w:val="0"/>
              <w:spacing w:line="240"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Marcas 2015</w:t>
            </w:r>
          </w:p>
        </w:tc>
        <w:tc>
          <w:tcPr>
            <w:tcW w:w="3009" w:type="dxa"/>
            <w:shd w:val="clear" w:color="auto" w:fill="D5A6BD"/>
            <w:tcMar>
              <w:top w:w="100" w:type="dxa"/>
              <w:left w:w="100" w:type="dxa"/>
              <w:bottom w:w="100" w:type="dxa"/>
              <w:right w:w="100" w:type="dxa"/>
            </w:tcMar>
          </w:tcPr>
          <w:p w:rsidR="00A426F9" w:rsidRDefault="00DF5186">
            <w:pPr>
              <w:widowControl w:val="0"/>
              <w:spacing w:line="240" w:lineRule="auto"/>
              <w:rPr>
                <w:rFonts w:ascii="Times New Roman" w:eastAsia="Times New Roman" w:hAnsi="Times New Roman" w:cs="Times New Roman"/>
                <w:b/>
                <w:color w:val="444444"/>
                <w:sz w:val="27"/>
                <w:szCs w:val="27"/>
              </w:rPr>
            </w:pPr>
            <w:r>
              <w:rPr>
                <w:rFonts w:ascii="Times New Roman" w:eastAsia="Times New Roman" w:hAnsi="Times New Roman" w:cs="Times New Roman"/>
                <w:b/>
                <w:color w:val="444444"/>
                <w:sz w:val="27"/>
                <w:szCs w:val="27"/>
              </w:rPr>
              <w:t>Marcas 2016</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Apple</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Apple</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Apple</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Google</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Google</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Google</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Microsoft</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Microsoft</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Microsoft</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IBM</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IBM</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IBM</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Samsung</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Samsung</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Samsung</w:t>
            </w:r>
          </w:p>
        </w:tc>
      </w:tr>
      <w:tr w:rsidR="00A426F9">
        <w:tblPrEx>
          <w:tblCellMar>
            <w:top w:w="0" w:type="dxa"/>
            <w:left w:w="0" w:type="dxa"/>
            <w:bottom w:w="0" w:type="dxa"/>
            <w:right w:w="0" w:type="dxa"/>
          </w:tblCellMar>
        </w:tblPrEx>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 xml:space="preserve">Amazon </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Facebook</w:t>
            </w:r>
          </w:p>
        </w:tc>
        <w:tc>
          <w:tcPr>
            <w:tcW w:w="3009" w:type="dxa"/>
            <w:tcMar>
              <w:top w:w="100" w:type="dxa"/>
              <w:left w:w="100" w:type="dxa"/>
              <w:bottom w:w="100" w:type="dxa"/>
              <w:right w:w="100" w:type="dxa"/>
            </w:tcMar>
          </w:tcPr>
          <w:p w:rsidR="00A426F9" w:rsidRDefault="00DF5186">
            <w:pPr>
              <w:widowControl w:val="0"/>
              <w:spacing w:line="240" w:lineRule="auto"/>
              <w:rPr>
                <w:color w:val="444444"/>
                <w:sz w:val="20"/>
                <w:szCs w:val="20"/>
                <w:highlight w:val="white"/>
              </w:rPr>
            </w:pPr>
            <w:r>
              <w:rPr>
                <w:color w:val="444444"/>
                <w:sz w:val="20"/>
                <w:szCs w:val="20"/>
                <w:highlight w:val="white"/>
              </w:rPr>
              <w:t>Amazon</w:t>
            </w:r>
          </w:p>
          <w:p w:rsidR="00A426F9" w:rsidRDefault="00DF5186">
            <w:pPr>
              <w:widowControl w:val="0"/>
              <w:spacing w:line="240" w:lineRule="auto"/>
              <w:rPr>
                <w:color w:val="444444"/>
                <w:sz w:val="20"/>
                <w:szCs w:val="20"/>
                <w:highlight w:val="white"/>
              </w:rPr>
            </w:pPr>
            <w:r>
              <w:rPr>
                <w:color w:val="444444"/>
                <w:sz w:val="20"/>
                <w:szCs w:val="20"/>
                <w:highlight w:val="white"/>
              </w:rPr>
              <w:t>Facebook</w:t>
            </w:r>
          </w:p>
        </w:tc>
      </w:tr>
    </w:tbl>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Pr="006D5532"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color w:val="444444"/>
          <w:sz w:val="27"/>
          <w:szCs w:val="27"/>
          <w:highlight w:val="white"/>
          <w:lang w:val="en-US"/>
        </w:rPr>
      </w:pPr>
      <w:r>
        <w:rPr>
          <w:rFonts w:ascii="Times New Roman" w:eastAsia="Times New Roman" w:hAnsi="Times New Roman" w:cs="Times New Roman"/>
          <w:b/>
          <w:color w:val="444444"/>
          <w:sz w:val="27"/>
          <w:szCs w:val="27"/>
          <w:highlight w:val="white"/>
        </w:rPr>
        <w:t xml:space="preserve">4. ¿Cuántas marcas estadounidenses aparecen en los tres estudios de 2016 (considerando todas las marcas)? </w:t>
      </w:r>
      <w:r w:rsidRPr="006D5532">
        <w:rPr>
          <w:rFonts w:ascii="Times New Roman" w:eastAsia="Times New Roman" w:hAnsi="Times New Roman" w:cs="Times New Roman"/>
          <w:b/>
          <w:color w:val="444444"/>
          <w:sz w:val="27"/>
          <w:szCs w:val="27"/>
          <w:highlight w:val="white"/>
          <w:lang w:val="en-US"/>
        </w:rPr>
        <w:t>¿</w:t>
      </w:r>
      <w:proofErr w:type="spellStart"/>
      <w:r w:rsidRPr="006D5532">
        <w:rPr>
          <w:rFonts w:ascii="Times New Roman" w:eastAsia="Times New Roman" w:hAnsi="Times New Roman" w:cs="Times New Roman"/>
          <w:b/>
          <w:color w:val="444444"/>
          <w:sz w:val="27"/>
          <w:szCs w:val="27"/>
          <w:highlight w:val="white"/>
          <w:lang w:val="en-US"/>
        </w:rPr>
        <w:t>Cuáles</w:t>
      </w:r>
      <w:proofErr w:type="spellEnd"/>
      <w:r w:rsidRPr="006D5532">
        <w:rPr>
          <w:rFonts w:ascii="Times New Roman" w:eastAsia="Times New Roman" w:hAnsi="Times New Roman" w:cs="Times New Roman"/>
          <w:b/>
          <w:color w:val="444444"/>
          <w:sz w:val="27"/>
          <w:szCs w:val="27"/>
          <w:highlight w:val="white"/>
          <w:lang w:val="en-US"/>
        </w:rPr>
        <w:t xml:space="preserve"> son?</w:t>
      </w:r>
    </w:p>
    <w:p w:rsidR="00A426F9" w:rsidRP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both"/>
        <w:rPr>
          <w:rFonts w:ascii="Times New Roman" w:eastAsia="Times New Roman" w:hAnsi="Times New Roman" w:cs="Times New Roman"/>
          <w:color w:val="444444"/>
          <w:sz w:val="27"/>
          <w:szCs w:val="27"/>
          <w:highlight w:val="white"/>
          <w:lang w:val="en-US"/>
        </w:rPr>
      </w:pPr>
      <w:r>
        <w:rPr>
          <w:rFonts w:ascii="Times New Roman" w:eastAsia="Times New Roman" w:hAnsi="Times New Roman" w:cs="Times New Roman"/>
          <w:color w:val="444444"/>
          <w:sz w:val="27"/>
          <w:szCs w:val="27"/>
          <w:highlight w:val="white"/>
          <w:lang w:val="en-US"/>
        </w:rPr>
        <w:t xml:space="preserve">Se </w:t>
      </w:r>
      <w:proofErr w:type="spellStart"/>
      <w:r>
        <w:rPr>
          <w:rFonts w:ascii="Times New Roman" w:eastAsia="Times New Roman" w:hAnsi="Times New Roman" w:cs="Times New Roman"/>
          <w:color w:val="444444"/>
          <w:sz w:val="27"/>
          <w:szCs w:val="27"/>
          <w:highlight w:val="white"/>
          <w:lang w:val="en-US"/>
        </w:rPr>
        <w:t>encontraron</w:t>
      </w:r>
      <w:proofErr w:type="spellEnd"/>
      <w:r>
        <w:rPr>
          <w:rFonts w:ascii="Times New Roman" w:eastAsia="Times New Roman" w:hAnsi="Times New Roman" w:cs="Times New Roman"/>
          <w:color w:val="444444"/>
          <w:sz w:val="27"/>
          <w:szCs w:val="27"/>
          <w:highlight w:val="white"/>
          <w:lang w:val="en-US"/>
        </w:rPr>
        <w:t xml:space="preserve"> 82 </w:t>
      </w:r>
      <w:proofErr w:type="spellStart"/>
      <w:r>
        <w:rPr>
          <w:rFonts w:ascii="Times New Roman" w:eastAsia="Times New Roman" w:hAnsi="Times New Roman" w:cs="Times New Roman"/>
          <w:color w:val="444444"/>
          <w:sz w:val="27"/>
          <w:szCs w:val="27"/>
          <w:highlight w:val="white"/>
          <w:lang w:val="en-US"/>
        </w:rPr>
        <w:t>marcas</w:t>
      </w:r>
      <w:proofErr w:type="spellEnd"/>
      <w:r>
        <w:rPr>
          <w:rFonts w:ascii="Times New Roman" w:eastAsia="Times New Roman" w:hAnsi="Times New Roman" w:cs="Times New Roman"/>
          <w:color w:val="444444"/>
          <w:sz w:val="27"/>
          <w:szCs w:val="27"/>
          <w:highlight w:val="white"/>
          <w:lang w:val="en-US"/>
        </w:rPr>
        <w:t xml:space="preserve"> </w:t>
      </w:r>
      <w:proofErr w:type="spellStart"/>
      <w:r>
        <w:rPr>
          <w:rFonts w:ascii="Times New Roman" w:eastAsia="Times New Roman" w:hAnsi="Times New Roman" w:cs="Times New Roman"/>
          <w:color w:val="444444"/>
          <w:sz w:val="27"/>
          <w:szCs w:val="27"/>
          <w:highlight w:val="white"/>
          <w:lang w:val="en-US"/>
        </w:rPr>
        <w:t>estadounidenses</w:t>
      </w:r>
      <w:proofErr w:type="spellEnd"/>
      <w:r>
        <w:rPr>
          <w:rFonts w:ascii="Times New Roman" w:eastAsia="Times New Roman" w:hAnsi="Times New Roman" w:cs="Times New Roman"/>
          <w:color w:val="444444"/>
          <w:sz w:val="27"/>
          <w:szCs w:val="27"/>
          <w:highlight w:val="white"/>
          <w:lang w:val="en-US"/>
        </w:rPr>
        <w:t xml:space="preserve">. </w:t>
      </w:r>
      <w:r w:rsidR="00DF5186" w:rsidRPr="006D5532">
        <w:rPr>
          <w:rFonts w:ascii="Times New Roman" w:eastAsia="Times New Roman" w:hAnsi="Times New Roman" w:cs="Times New Roman"/>
          <w:color w:val="444444"/>
          <w:sz w:val="27"/>
          <w:szCs w:val="27"/>
          <w:highlight w:val="white"/>
          <w:lang w:val="en-US"/>
        </w:rPr>
        <w:t>Apple, Googl</w:t>
      </w:r>
      <w:r>
        <w:rPr>
          <w:rFonts w:ascii="Times New Roman" w:eastAsia="Times New Roman" w:hAnsi="Times New Roman" w:cs="Times New Roman"/>
          <w:color w:val="444444"/>
          <w:sz w:val="27"/>
          <w:szCs w:val="27"/>
          <w:highlight w:val="white"/>
          <w:lang w:val="en-US"/>
        </w:rPr>
        <w:t>e, Coca-Cola, Micros</w:t>
      </w:r>
      <w:r w:rsidR="00DF5186" w:rsidRPr="006D5532">
        <w:rPr>
          <w:rFonts w:ascii="Times New Roman" w:eastAsia="Times New Roman" w:hAnsi="Times New Roman" w:cs="Times New Roman"/>
          <w:color w:val="444444"/>
          <w:sz w:val="27"/>
          <w:szCs w:val="27"/>
          <w:highlight w:val="white"/>
          <w:lang w:val="en-US"/>
        </w:rPr>
        <w:t>oft, IBM, Amazon, General Electric, McDonald's, Disney, Intel, Facebo</w:t>
      </w:r>
      <w:r>
        <w:rPr>
          <w:rFonts w:ascii="Times New Roman" w:eastAsia="Times New Roman" w:hAnsi="Times New Roman" w:cs="Times New Roman"/>
          <w:color w:val="444444"/>
          <w:sz w:val="27"/>
          <w:szCs w:val="27"/>
          <w:highlight w:val="white"/>
          <w:lang w:val="en-US"/>
        </w:rPr>
        <w:t>ok, Cisco, Oracle, Nike, Pepsi</w:t>
      </w:r>
      <w:r w:rsidR="00DF5186" w:rsidRPr="006D5532">
        <w:rPr>
          <w:rFonts w:ascii="Times New Roman" w:eastAsia="Times New Roman" w:hAnsi="Times New Roman" w:cs="Times New Roman"/>
          <w:color w:val="444444"/>
          <w:sz w:val="27"/>
          <w:szCs w:val="27"/>
          <w:highlight w:val="white"/>
          <w:lang w:val="en-US"/>
        </w:rPr>
        <w:t xml:space="preserve">, Gillette, American Express, Pampers, Ups, J.P. Morgan, </w:t>
      </w:r>
      <w:proofErr w:type="spellStart"/>
      <w:r w:rsidR="00DF5186" w:rsidRPr="006D5532">
        <w:rPr>
          <w:rFonts w:ascii="Times New Roman" w:eastAsia="Times New Roman" w:hAnsi="Times New Roman" w:cs="Times New Roman"/>
          <w:color w:val="444444"/>
          <w:sz w:val="27"/>
          <w:szCs w:val="27"/>
          <w:highlight w:val="white"/>
          <w:lang w:val="en-US"/>
        </w:rPr>
        <w:t>Ebay</w:t>
      </w:r>
      <w:proofErr w:type="spellEnd"/>
      <w:r w:rsidR="00DF5186" w:rsidRPr="006D5532">
        <w:rPr>
          <w:rFonts w:ascii="Times New Roman" w:eastAsia="Times New Roman" w:hAnsi="Times New Roman" w:cs="Times New Roman"/>
          <w:color w:val="444444"/>
          <w:sz w:val="27"/>
          <w:szCs w:val="27"/>
          <w:highlight w:val="white"/>
          <w:lang w:val="en-US"/>
        </w:rPr>
        <w:t>, Ford, Accenture, Kellogg's, HP, Citi, Goldman Sa</w:t>
      </w:r>
      <w:r w:rsidR="00DF5186" w:rsidRPr="006D5532">
        <w:rPr>
          <w:rFonts w:ascii="Times New Roman" w:eastAsia="Times New Roman" w:hAnsi="Times New Roman" w:cs="Times New Roman"/>
          <w:color w:val="444444"/>
          <w:sz w:val="27"/>
          <w:szCs w:val="27"/>
          <w:highlight w:val="white"/>
          <w:lang w:val="en-US"/>
        </w:rPr>
        <w:t xml:space="preserve">chs, Colgate, Sony, 3M, Visa, Adobe, Starbucks, Morgan Stanley, Discovery, Thomson Reuters, Johnson &amp; Johnson, Tiffany &amp; Co., KFC, </w:t>
      </w:r>
      <w:proofErr w:type="spellStart"/>
      <w:r w:rsidR="00DF5186" w:rsidRPr="006D5532">
        <w:rPr>
          <w:rFonts w:ascii="Times New Roman" w:eastAsia="Times New Roman" w:hAnsi="Times New Roman" w:cs="Times New Roman"/>
          <w:color w:val="444444"/>
          <w:sz w:val="27"/>
          <w:szCs w:val="27"/>
          <w:highlight w:val="white"/>
          <w:lang w:val="en-US"/>
        </w:rPr>
        <w:t>Mastercard</w:t>
      </w:r>
      <w:proofErr w:type="spellEnd"/>
      <w:r w:rsidR="00DF5186" w:rsidRPr="006D5532">
        <w:rPr>
          <w:rFonts w:ascii="Times New Roman" w:eastAsia="Times New Roman" w:hAnsi="Times New Roman" w:cs="Times New Roman"/>
          <w:color w:val="444444"/>
          <w:sz w:val="27"/>
          <w:szCs w:val="27"/>
          <w:highlight w:val="white"/>
          <w:lang w:val="en-US"/>
        </w:rPr>
        <w:t xml:space="preserve">, Land Rover, </w:t>
      </w:r>
      <w:proofErr w:type="spellStart"/>
      <w:r w:rsidR="00DF5186" w:rsidRPr="006D5532">
        <w:rPr>
          <w:rFonts w:ascii="Times New Roman" w:eastAsia="Times New Roman" w:hAnsi="Times New Roman" w:cs="Times New Roman"/>
          <w:color w:val="444444"/>
          <w:sz w:val="27"/>
          <w:szCs w:val="27"/>
          <w:highlight w:val="white"/>
          <w:lang w:val="en-US"/>
        </w:rPr>
        <w:t>Fedex</w:t>
      </w:r>
      <w:proofErr w:type="spellEnd"/>
      <w:r w:rsidR="00DF5186" w:rsidRPr="006D5532">
        <w:rPr>
          <w:rFonts w:ascii="Times New Roman" w:eastAsia="Times New Roman" w:hAnsi="Times New Roman" w:cs="Times New Roman"/>
          <w:color w:val="444444"/>
          <w:sz w:val="27"/>
          <w:szCs w:val="27"/>
          <w:highlight w:val="white"/>
          <w:lang w:val="en-US"/>
        </w:rPr>
        <w:t xml:space="preserve">, Harley Davidson, Caterpillar, Xerox, Jack Daniels, Sprite, </w:t>
      </w:r>
      <w:proofErr w:type="spellStart"/>
      <w:r w:rsidR="00DF5186" w:rsidRPr="006D5532">
        <w:rPr>
          <w:rFonts w:ascii="Times New Roman" w:eastAsia="Times New Roman" w:hAnsi="Times New Roman" w:cs="Times New Roman"/>
          <w:color w:val="444444"/>
          <w:sz w:val="27"/>
          <w:szCs w:val="27"/>
          <w:highlight w:val="white"/>
          <w:lang w:val="en-US"/>
        </w:rPr>
        <w:t>Paypal</w:t>
      </w:r>
      <w:proofErr w:type="spellEnd"/>
      <w:r w:rsidR="00DF5186" w:rsidRPr="006D5532">
        <w:rPr>
          <w:rFonts w:ascii="Times New Roman" w:eastAsia="Times New Roman" w:hAnsi="Times New Roman" w:cs="Times New Roman"/>
          <w:color w:val="444444"/>
          <w:sz w:val="27"/>
          <w:szCs w:val="27"/>
          <w:highlight w:val="white"/>
          <w:lang w:val="en-US"/>
        </w:rPr>
        <w:t>, John Deer, MTV, Johnnie Wal</w:t>
      </w:r>
      <w:r w:rsidR="00DF5186" w:rsidRPr="006D5532">
        <w:rPr>
          <w:rFonts w:ascii="Times New Roman" w:eastAsia="Times New Roman" w:hAnsi="Times New Roman" w:cs="Times New Roman"/>
          <w:color w:val="444444"/>
          <w:sz w:val="27"/>
          <w:szCs w:val="27"/>
          <w:highlight w:val="white"/>
          <w:lang w:val="en-US"/>
        </w:rPr>
        <w:t xml:space="preserve">ker, Ralph Lauren, Tesla, AT&amp;T, Intel, Walmart, ESPN, Home Depot, Frito-Lay, Wells Fargo, CVS, Fox, Chevrolet, Kraft, Bank of America, Rolex, Red Bull, Netflix, BASF, T Mobile, Lowe’s, Target, Boeing, Subway, Hershey, Costco, Walgreens, Coach, Exxon, </w:t>
      </w:r>
      <w:proofErr w:type="spellStart"/>
      <w:r w:rsidR="00DF5186" w:rsidRPr="006D5532">
        <w:rPr>
          <w:rFonts w:ascii="Times New Roman" w:eastAsia="Times New Roman" w:hAnsi="Times New Roman" w:cs="Times New Roman"/>
          <w:color w:val="444444"/>
          <w:sz w:val="27"/>
          <w:szCs w:val="27"/>
          <w:highlight w:val="white"/>
          <w:lang w:val="en-US"/>
        </w:rPr>
        <w:t>Linke</w:t>
      </w:r>
      <w:r>
        <w:rPr>
          <w:rFonts w:ascii="Times New Roman" w:eastAsia="Times New Roman" w:hAnsi="Times New Roman" w:cs="Times New Roman"/>
          <w:color w:val="444444"/>
          <w:sz w:val="27"/>
          <w:szCs w:val="27"/>
          <w:highlight w:val="white"/>
          <w:lang w:val="en-US"/>
        </w:rPr>
        <w:t>din</w:t>
      </w:r>
      <w:proofErr w:type="spellEnd"/>
      <w:r>
        <w:rPr>
          <w:rFonts w:ascii="Times New Roman" w:eastAsia="Times New Roman" w:hAnsi="Times New Roman" w:cs="Times New Roman"/>
          <w:color w:val="444444"/>
          <w:sz w:val="27"/>
          <w:szCs w:val="27"/>
          <w:highlight w:val="white"/>
          <w:lang w:val="en-US"/>
        </w:rPr>
        <w:t>, Chase.</w:t>
      </w:r>
      <w:r w:rsidR="00DF5186" w:rsidRPr="006D5532">
        <w:rPr>
          <w:rFonts w:ascii="Times New Roman" w:eastAsia="Times New Roman" w:hAnsi="Times New Roman" w:cs="Times New Roman"/>
          <w:color w:val="444444"/>
          <w:sz w:val="27"/>
          <w:szCs w:val="27"/>
          <w:highlight w:val="white"/>
          <w:lang w:val="en-US"/>
        </w:rPr>
        <w:t xml:space="preserve">  </w:t>
      </w:r>
      <w:bookmarkStart w:id="0" w:name="_GoBack"/>
      <w:bookmarkEnd w:id="0"/>
    </w:p>
    <w:p w:rsidR="00A426F9" w:rsidRPr="006D5532"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lang w:val="en-US"/>
        </w:rPr>
      </w:pPr>
      <w:r w:rsidRPr="006D5532">
        <w:rPr>
          <w:rFonts w:ascii="Times New Roman" w:eastAsia="Times New Roman" w:hAnsi="Times New Roman" w:cs="Times New Roman"/>
          <w:b/>
          <w:color w:val="444444"/>
          <w:sz w:val="27"/>
          <w:szCs w:val="27"/>
          <w:highlight w:val="white"/>
          <w:lang w:val="en-US"/>
        </w:rPr>
        <w:t>5. ¿</w:t>
      </w:r>
      <w:proofErr w:type="spellStart"/>
      <w:r w:rsidRPr="006D5532">
        <w:rPr>
          <w:rFonts w:ascii="Times New Roman" w:eastAsia="Times New Roman" w:hAnsi="Times New Roman" w:cs="Times New Roman"/>
          <w:b/>
          <w:color w:val="444444"/>
          <w:sz w:val="27"/>
          <w:szCs w:val="27"/>
          <w:highlight w:val="white"/>
          <w:lang w:val="en-US"/>
        </w:rPr>
        <w:t>Cuántas</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marcas</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europeas</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aparecen</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en</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los</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tres</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estudios</w:t>
      </w:r>
      <w:proofErr w:type="spellEnd"/>
      <w:r w:rsidRPr="006D5532">
        <w:rPr>
          <w:rFonts w:ascii="Times New Roman" w:eastAsia="Times New Roman" w:hAnsi="Times New Roman" w:cs="Times New Roman"/>
          <w:b/>
          <w:color w:val="444444"/>
          <w:sz w:val="27"/>
          <w:szCs w:val="27"/>
          <w:highlight w:val="white"/>
          <w:lang w:val="en-US"/>
        </w:rPr>
        <w:t xml:space="preserve"> de 2016 (</w:t>
      </w:r>
      <w:proofErr w:type="spellStart"/>
      <w:r w:rsidRPr="006D5532">
        <w:rPr>
          <w:rFonts w:ascii="Times New Roman" w:eastAsia="Times New Roman" w:hAnsi="Times New Roman" w:cs="Times New Roman"/>
          <w:b/>
          <w:color w:val="444444"/>
          <w:sz w:val="27"/>
          <w:szCs w:val="27"/>
          <w:highlight w:val="white"/>
          <w:lang w:val="en-US"/>
        </w:rPr>
        <w:t>considerando</w:t>
      </w:r>
      <w:proofErr w:type="spellEnd"/>
      <w:r w:rsidRPr="006D5532">
        <w:rPr>
          <w:rFonts w:ascii="Times New Roman" w:eastAsia="Times New Roman" w:hAnsi="Times New Roman" w:cs="Times New Roman"/>
          <w:b/>
          <w:color w:val="444444"/>
          <w:sz w:val="27"/>
          <w:szCs w:val="27"/>
          <w:highlight w:val="white"/>
          <w:lang w:val="en-US"/>
        </w:rPr>
        <w:t xml:space="preserve"> </w:t>
      </w:r>
      <w:proofErr w:type="spellStart"/>
      <w:r w:rsidRPr="006D5532">
        <w:rPr>
          <w:rFonts w:ascii="Times New Roman" w:eastAsia="Times New Roman" w:hAnsi="Times New Roman" w:cs="Times New Roman"/>
          <w:b/>
          <w:color w:val="444444"/>
          <w:sz w:val="27"/>
          <w:szCs w:val="27"/>
          <w:highlight w:val="white"/>
          <w:lang w:val="en-US"/>
        </w:rPr>
        <w:t>todas</w:t>
      </w:r>
      <w:proofErr w:type="spellEnd"/>
      <w:r w:rsidRPr="006D5532">
        <w:rPr>
          <w:rFonts w:ascii="Times New Roman" w:eastAsia="Times New Roman" w:hAnsi="Times New Roman" w:cs="Times New Roman"/>
          <w:b/>
          <w:color w:val="444444"/>
          <w:sz w:val="27"/>
          <w:szCs w:val="27"/>
          <w:highlight w:val="white"/>
          <w:lang w:val="en-US"/>
        </w:rPr>
        <w:t xml:space="preserve"> las </w:t>
      </w:r>
      <w:proofErr w:type="spellStart"/>
      <w:r w:rsidRPr="006D5532">
        <w:rPr>
          <w:rFonts w:ascii="Times New Roman" w:eastAsia="Times New Roman" w:hAnsi="Times New Roman" w:cs="Times New Roman"/>
          <w:b/>
          <w:color w:val="444444"/>
          <w:sz w:val="27"/>
          <w:szCs w:val="27"/>
          <w:highlight w:val="white"/>
          <w:lang w:val="en-US"/>
        </w:rPr>
        <w:t>marcas</w:t>
      </w:r>
      <w:proofErr w:type="spellEnd"/>
      <w:r w:rsidRPr="006D5532">
        <w:rPr>
          <w:rFonts w:ascii="Times New Roman" w:eastAsia="Times New Roman" w:hAnsi="Times New Roman" w:cs="Times New Roman"/>
          <w:b/>
          <w:color w:val="444444"/>
          <w:sz w:val="27"/>
          <w:szCs w:val="27"/>
          <w:highlight w:val="white"/>
          <w:lang w:val="en-US"/>
        </w:rPr>
        <w:t>)? ¿</w:t>
      </w:r>
      <w:proofErr w:type="spellStart"/>
      <w:r w:rsidRPr="006D5532">
        <w:rPr>
          <w:rFonts w:ascii="Times New Roman" w:eastAsia="Times New Roman" w:hAnsi="Times New Roman" w:cs="Times New Roman"/>
          <w:b/>
          <w:color w:val="444444"/>
          <w:sz w:val="27"/>
          <w:szCs w:val="27"/>
          <w:highlight w:val="white"/>
          <w:lang w:val="en-US"/>
        </w:rPr>
        <w:t>Cuáles</w:t>
      </w:r>
      <w:proofErr w:type="spellEnd"/>
      <w:r w:rsidRPr="006D5532">
        <w:rPr>
          <w:rFonts w:ascii="Times New Roman" w:eastAsia="Times New Roman" w:hAnsi="Times New Roman" w:cs="Times New Roman"/>
          <w:b/>
          <w:color w:val="444444"/>
          <w:sz w:val="27"/>
          <w:szCs w:val="27"/>
          <w:highlight w:val="white"/>
          <w:lang w:val="en-US"/>
        </w:rPr>
        <w:t xml:space="preserve"> son?</w:t>
      </w:r>
    </w:p>
    <w:p w:rsidR="00A426F9"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both"/>
        <w:rPr>
          <w:rFonts w:ascii="Times New Roman" w:eastAsia="Times New Roman" w:hAnsi="Times New Roman" w:cs="Times New Roman"/>
          <w:color w:val="444444"/>
          <w:sz w:val="27"/>
          <w:szCs w:val="27"/>
          <w:highlight w:val="white"/>
        </w:rPr>
      </w:pPr>
      <w:r w:rsidRPr="006D5532">
        <w:rPr>
          <w:rFonts w:ascii="Times New Roman" w:eastAsia="Times New Roman" w:hAnsi="Times New Roman" w:cs="Times New Roman"/>
          <w:color w:val="444444"/>
          <w:sz w:val="27"/>
          <w:szCs w:val="27"/>
          <w:highlight w:val="white"/>
          <w:lang w:val="en-US"/>
        </w:rPr>
        <w:t xml:space="preserve">Se </w:t>
      </w:r>
      <w:proofErr w:type="spellStart"/>
      <w:r w:rsidRPr="006D5532">
        <w:rPr>
          <w:rFonts w:ascii="Times New Roman" w:eastAsia="Times New Roman" w:hAnsi="Times New Roman" w:cs="Times New Roman"/>
          <w:color w:val="444444"/>
          <w:sz w:val="27"/>
          <w:szCs w:val="27"/>
          <w:highlight w:val="white"/>
          <w:lang w:val="en-US"/>
        </w:rPr>
        <w:t>encontraron</w:t>
      </w:r>
      <w:proofErr w:type="spellEnd"/>
      <w:r w:rsidRPr="006D5532">
        <w:rPr>
          <w:rFonts w:ascii="Times New Roman" w:eastAsia="Times New Roman" w:hAnsi="Times New Roman" w:cs="Times New Roman"/>
          <w:color w:val="444444"/>
          <w:sz w:val="27"/>
          <w:szCs w:val="27"/>
          <w:highlight w:val="white"/>
          <w:lang w:val="en-US"/>
        </w:rPr>
        <w:t xml:space="preserve"> </w:t>
      </w:r>
      <w:r>
        <w:rPr>
          <w:rFonts w:ascii="Times New Roman" w:eastAsia="Times New Roman" w:hAnsi="Times New Roman" w:cs="Times New Roman"/>
          <w:color w:val="444444"/>
          <w:sz w:val="27"/>
          <w:szCs w:val="27"/>
          <w:highlight w:val="white"/>
        </w:rPr>
        <w:t xml:space="preserve">44 marcas Europas. </w:t>
      </w:r>
      <w:r w:rsidR="00DF5186">
        <w:rPr>
          <w:rFonts w:ascii="Times New Roman" w:eastAsia="Times New Roman" w:hAnsi="Times New Roman" w:cs="Times New Roman"/>
          <w:color w:val="444444"/>
          <w:sz w:val="27"/>
          <w:szCs w:val="27"/>
          <w:highlight w:val="white"/>
        </w:rPr>
        <w:t xml:space="preserve">Mercedes-Benz, BMW, Louis </w:t>
      </w:r>
      <w:proofErr w:type="spellStart"/>
      <w:r w:rsidR="00DF5186">
        <w:rPr>
          <w:rFonts w:ascii="Times New Roman" w:eastAsia="Times New Roman" w:hAnsi="Times New Roman" w:cs="Times New Roman"/>
          <w:color w:val="444444"/>
          <w:sz w:val="27"/>
          <w:szCs w:val="27"/>
          <w:highlight w:val="white"/>
        </w:rPr>
        <w:t>Vuitton</w:t>
      </w:r>
      <w:proofErr w:type="spellEnd"/>
      <w:r w:rsidR="00DF5186">
        <w:rPr>
          <w:rFonts w:ascii="Times New Roman" w:eastAsia="Times New Roman" w:hAnsi="Times New Roman" w:cs="Times New Roman"/>
          <w:color w:val="444444"/>
          <w:sz w:val="27"/>
          <w:szCs w:val="27"/>
          <w:highlight w:val="white"/>
        </w:rPr>
        <w:t xml:space="preserve">, H&amp;M, IKEA, Hermes, Audi, </w:t>
      </w:r>
      <w:proofErr w:type="spellStart"/>
      <w:r w:rsidR="00DF5186">
        <w:rPr>
          <w:rFonts w:ascii="Times New Roman" w:eastAsia="Times New Roman" w:hAnsi="Times New Roman" w:cs="Times New Roman"/>
          <w:color w:val="444444"/>
          <w:sz w:val="27"/>
          <w:szCs w:val="27"/>
          <w:highlight w:val="white"/>
        </w:rPr>
        <w:t>Nescafé</w:t>
      </w:r>
      <w:proofErr w:type="spellEnd"/>
      <w:r w:rsidR="00DF5186">
        <w:rPr>
          <w:rFonts w:ascii="Times New Roman" w:eastAsia="Times New Roman" w:hAnsi="Times New Roman" w:cs="Times New Roman"/>
          <w:color w:val="444444"/>
          <w:sz w:val="27"/>
          <w:szCs w:val="27"/>
          <w:highlight w:val="white"/>
        </w:rPr>
        <w:t xml:space="preserve">, Volkswagen, Philips, </w:t>
      </w:r>
      <w:proofErr w:type="spellStart"/>
      <w:r w:rsidR="00DF5186">
        <w:rPr>
          <w:rFonts w:ascii="Times New Roman" w:eastAsia="Times New Roman" w:hAnsi="Times New Roman" w:cs="Times New Roman"/>
          <w:color w:val="444444"/>
          <w:sz w:val="27"/>
          <w:szCs w:val="27"/>
          <w:highlight w:val="white"/>
        </w:rPr>
        <w:t>L’Oréal</w:t>
      </w:r>
      <w:proofErr w:type="spellEnd"/>
      <w:r w:rsidR="00DF5186">
        <w:rPr>
          <w:rFonts w:ascii="Times New Roman" w:eastAsia="Times New Roman" w:hAnsi="Times New Roman" w:cs="Times New Roman"/>
          <w:color w:val="444444"/>
          <w:sz w:val="27"/>
          <w:szCs w:val="27"/>
          <w:highlight w:val="white"/>
        </w:rPr>
        <w:t>, Axa, Porsche, Allianz, Siemens,</w:t>
      </w:r>
      <w:r w:rsidR="00DF5186">
        <w:rPr>
          <w:rFonts w:ascii="Times New Roman" w:eastAsia="Times New Roman" w:hAnsi="Times New Roman" w:cs="Times New Roman"/>
          <w:color w:val="444444"/>
          <w:sz w:val="27"/>
          <w:szCs w:val="27"/>
          <w:highlight w:val="white"/>
        </w:rPr>
        <w:t xml:space="preserve"> Gucci, Danone, Nestlé, Adidas, Cartier, Lego, DHL, Prada, </w:t>
      </w:r>
      <w:proofErr w:type="spellStart"/>
      <w:r w:rsidR="00DF5186">
        <w:rPr>
          <w:rFonts w:ascii="Times New Roman" w:eastAsia="Times New Roman" w:hAnsi="Times New Roman" w:cs="Times New Roman"/>
          <w:color w:val="444444"/>
          <w:sz w:val="27"/>
          <w:szCs w:val="27"/>
          <w:highlight w:val="white"/>
        </w:rPr>
        <w:t>Burberry</w:t>
      </w:r>
      <w:proofErr w:type="spellEnd"/>
      <w:r w:rsidR="00DF5186">
        <w:rPr>
          <w:rFonts w:ascii="Times New Roman" w:eastAsia="Times New Roman" w:hAnsi="Times New Roman" w:cs="Times New Roman"/>
          <w:color w:val="444444"/>
          <w:sz w:val="27"/>
          <w:szCs w:val="27"/>
          <w:highlight w:val="white"/>
        </w:rPr>
        <w:t xml:space="preserve">, Heineken, Mini, </w:t>
      </w:r>
      <w:proofErr w:type="spellStart"/>
      <w:r w:rsidR="00DF5186">
        <w:rPr>
          <w:rFonts w:ascii="Times New Roman" w:eastAsia="Times New Roman" w:hAnsi="Times New Roman" w:cs="Times New Roman"/>
          <w:color w:val="444444"/>
          <w:sz w:val="27"/>
          <w:szCs w:val="27"/>
          <w:highlight w:val="white"/>
        </w:rPr>
        <w:t>Dior</w:t>
      </w:r>
      <w:proofErr w:type="spellEnd"/>
      <w:r w:rsidR="00DF5186">
        <w:rPr>
          <w:rFonts w:ascii="Times New Roman" w:eastAsia="Times New Roman" w:hAnsi="Times New Roman" w:cs="Times New Roman"/>
          <w:color w:val="444444"/>
          <w:sz w:val="27"/>
          <w:szCs w:val="27"/>
          <w:highlight w:val="white"/>
        </w:rPr>
        <w:t xml:space="preserve">, Shell, </w:t>
      </w:r>
      <w:proofErr w:type="spellStart"/>
      <w:r w:rsidR="00DF5186">
        <w:rPr>
          <w:rFonts w:ascii="Times New Roman" w:eastAsia="Times New Roman" w:hAnsi="Times New Roman" w:cs="Times New Roman"/>
          <w:color w:val="444444"/>
          <w:sz w:val="27"/>
          <w:szCs w:val="27"/>
          <w:highlight w:val="white"/>
        </w:rPr>
        <w:t>Smirnoff</w:t>
      </w:r>
      <w:proofErr w:type="spellEnd"/>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Moet</w:t>
      </w:r>
      <w:proofErr w:type="spellEnd"/>
      <w:r w:rsidR="00DF5186">
        <w:rPr>
          <w:rFonts w:ascii="Times New Roman" w:eastAsia="Times New Roman" w:hAnsi="Times New Roman" w:cs="Times New Roman"/>
          <w:color w:val="444444"/>
          <w:sz w:val="27"/>
          <w:szCs w:val="27"/>
          <w:highlight w:val="white"/>
        </w:rPr>
        <w:t xml:space="preserve"> &amp; </w:t>
      </w:r>
      <w:proofErr w:type="spellStart"/>
      <w:r w:rsidR="00DF5186">
        <w:rPr>
          <w:rFonts w:ascii="Times New Roman" w:eastAsia="Times New Roman" w:hAnsi="Times New Roman" w:cs="Times New Roman"/>
          <w:color w:val="444444"/>
          <w:sz w:val="27"/>
          <w:szCs w:val="27"/>
          <w:highlight w:val="white"/>
        </w:rPr>
        <w:t>Chandon</w:t>
      </w:r>
      <w:proofErr w:type="spellEnd"/>
      <w:r w:rsidR="00DF5186">
        <w:rPr>
          <w:rFonts w:ascii="Times New Roman" w:eastAsia="Times New Roman" w:hAnsi="Times New Roman" w:cs="Times New Roman"/>
          <w:color w:val="444444"/>
          <w:sz w:val="27"/>
          <w:szCs w:val="27"/>
          <w:highlight w:val="white"/>
        </w:rPr>
        <w:t xml:space="preserve">, SAP, </w:t>
      </w:r>
      <w:proofErr w:type="spellStart"/>
      <w:r w:rsidR="00DF5186">
        <w:rPr>
          <w:rFonts w:ascii="Times New Roman" w:eastAsia="Times New Roman" w:hAnsi="Times New Roman" w:cs="Times New Roman"/>
          <w:color w:val="444444"/>
          <w:sz w:val="27"/>
          <w:szCs w:val="27"/>
          <w:highlight w:val="white"/>
        </w:rPr>
        <w:t>Budweiser</w:t>
      </w:r>
      <w:proofErr w:type="spellEnd"/>
      <w:r w:rsidR="00DF5186">
        <w:rPr>
          <w:rFonts w:ascii="Times New Roman" w:eastAsia="Times New Roman" w:hAnsi="Times New Roman" w:cs="Times New Roman"/>
          <w:color w:val="444444"/>
          <w:sz w:val="27"/>
          <w:szCs w:val="27"/>
          <w:highlight w:val="white"/>
        </w:rPr>
        <w:t xml:space="preserve">, Zara, Santander, BBVA, </w:t>
      </w:r>
      <w:proofErr w:type="spellStart"/>
      <w:r w:rsidR="00DF5186">
        <w:rPr>
          <w:rFonts w:ascii="Times New Roman" w:eastAsia="Times New Roman" w:hAnsi="Times New Roman" w:cs="Times New Roman"/>
          <w:color w:val="444444"/>
          <w:sz w:val="27"/>
          <w:szCs w:val="27"/>
          <w:highlight w:val="white"/>
        </w:rPr>
        <w:t>Lancome</w:t>
      </w:r>
      <w:proofErr w:type="spellEnd"/>
      <w:r w:rsidR="00DF5186">
        <w:rPr>
          <w:rFonts w:ascii="Times New Roman" w:eastAsia="Times New Roman" w:hAnsi="Times New Roman" w:cs="Times New Roman"/>
          <w:color w:val="444444"/>
          <w:sz w:val="27"/>
          <w:szCs w:val="27"/>
          <w:highlight w:val="white"/>
        </w:rPr>
        <w:t xml:space="preserve">, Allianz, </w:t>
      </w:r>
      <w:proofErr w:type="spellStart"/>
      <w:r w:rsidR="00DF5186">
        <w:rPr>
          <w:rFonts w:ascii="Times New Roman" w:eastAsia="Times New Roman" w:hAnsi="Times New Roman" w:cs="Times New Roman"/>
          <w:color w:val="444444"/>
          <w:sz w:val="27"/>
          <w:szCs w:val="27"/>
          <w:highlight w:val="white"/>
        </w:rPr>
        <w:t>Nivea</w:t>
      </w:r>
      <w:proofErr w:type="spellEnd"/>
      <w:r w:rsidR="00DF5186">
        <w:rPr>
          <w:rFonts w:ascii="Times New Roman" w:eastAsia="Times New Roman" w:hAnsi="Times New Roman" w:cs="Times New Roman"/>
          <w:color w:val="444444"/>
          <w:sz w:val="27"/>
          <w:szCs w:val="27"/>
          <w:highlight w:val="white"/>
        </w:rPr>
        <w:t xml:space="preserve">, Vodafone, Movistar, Orange, BP, </w:t>
      </w:r>
      <w:proofErr w:type="spellStart"/>
      <w:r w:rsidR="00DF5186">
        <w:rPr>
          <w:rFonts w:ascii="Times New Roman" w:eastAsia="Times New Roman" w:hAnsi="Times New Roman" w:cs="Times New Roman"/>
          <w:color w:val="444444"/>
          <w:sz w:val="27"/>
          <w:szCs w:val="27"/>
          <w:highlight w:val="white"/>
        </w:rPr>
        <w:t>Aldi</w:t>
      </w:r>
      <w:proofErr w:type="spellEnd"/>
      <w:r w:rsidR="00DF5186">
        <w:rPr>
          <w:rFonts w:ascii="Times New Roman" w:eastAsia="Times New Roman" w:hAnsi="Times New Roman" w:cs="Times New Roman"/>
          <w:color w:val="444444"/>
          <w:sz w:val="27"/>
          <w:szCs w:val="27"/>
          <w:highlight w:val="white"/>
        </w:rPr>
        <w:t xml:space="preserve">, </w:t>
      </w:r>
    </w:p>
    <w:p w:rsidR="006D5532"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both"/>
        <w:rPr>
          <w:rFonts w:ascii="Times New Roman" w:eastAsia="Times New Roman" w:hAnsi="Times New Roman" w:cs="Times New Roman"/>
          <w:color w:val="444444"/>
          <w:sz w:val="27"/>
          <w:szCs w:val="27"/>
          <w:highlight w:val="white"/>
        </w:rPr>
      </w:pP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b/>
          <w:color w:val="444444"/>
          <w:sz w:val="27"/>
          <w:szCs w:val="27"/>
          <w:highlight w:val="white"/>
        </w:rPr>
        <w:lastRenderedPageBreak/>
        <w:t>6.  ¿Cuántas marcas asiáticas</w:t>
      </w:r>
      <w:r>
        <w:rPr>
          <w:rFonts w:ascii="Times New Roman" w:eastAsia="Times New Roman" w:hAnsi="Times New Roman" w:cs="Times New Roman"/>
          <w:b/>
          <w:color w:val="444444"/>
          <w:sz w:val="27"/>
          <w:szCs w:val="27"/>
          <w:highlight w:val="white"/>
        </w:rPr>
        <w:t xml:space="preserve"> aparecen en los tres estudios de 2016 (considerando todas las marcas)? ¿Cuáles son?</w:t>
      </w:r>
    </w:p>
    <w:p w:rsidR="00A426F9"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jc w:val="both"/>
        <w:rPr>
          <w:rFonts w:ascii="Times New Roman" w:eastAsia="Times New Roman" w:hAnsi="Times New Roman" w:cs="Times New Roman"/>
          <w:color w:val="444444"/>
          <w:sz w:val="27"/>
          <w:szCs w:val="27"/>
          <w:highlight w:val="white"/>
        </w:rPr>
      </w:pPr>
      <w:r>
        <w:rPr>
          <w:rFonts w:ascii="Times New Roman" w:eastAsia="Times New Roman" w:hAnsi="Times New Roman" w:cs="Times New Roman"/>
          <w:color w:val="444444"/>
          <w:sz w:val="27"/>
          <w:szCs w:val="27"/>
          <w:highlight w:val="white"/>
        </w:rPr>
        <w:t xml:space="preserve">Se </w:t>
      </w:r>
      <w:proofErr w:type="spellStart"/>
      <w:r>
        <w:rPr>
          <w:rFonts w:ascii="Times New Roman" w:eastAsia="Times New Roman" w:hAnsi="Times New Roman" w:cs="Times New Roman"/>
          <w:color w:val="444444"/>
          <w:sz w:val="27"/>
          <w:szCs w:val="27"/>
          <w:highlight w:val="white"/>
        </w:rPr>
        <w:t>encotraron</w:t>
      </w:r>
      <w:proofErr w:type="spellEnd"/>
      <w:r>
        <w:rPr>
          <w:rFonts w:ascii="Times New Roman" w:eastAsia="Times New Roman" w:hAnsi="Times New Roman" w:cs="Times New Roman"/>
          <w:color w:val="444444"/>
          <w:sz w:val="27"/>
          <w:szCs w:val="27"/>
          <w:highlight w:val="white"/>
        </w:rPr>
        <w:t xml:space="preserve"> 28 empresas asiáticas. </w:t>
      </w:r>
      <w:r w:rsidR="00DF5186">
        <w:rPr>
          <w:rFonts w:ascii="Times New Roman" w:eastAsia="Times New Roman" w:hAnsi="Times New Roman" w:cs="Times New Roman"/>
          <w:color w:val="444444"/>
          <w:sz w:val="27"/>
          <w:szCs w:val="27"/>
          <w:highlight w:val="white"/>
        </w:rPr>
        <w:t xml:space="preserve">Toyota, Samsung, Honda, Hyundai, Canon, Nissan, Panasonic, </w:t>
      </w:r>
      <w:proofErr w:type="spellStart"/>
      <w:r w:rsidR="00DF5186">
        <w:rPr>
          <w:rFonts w:ascii="Times New Roman" w:eastAsia="Times New Roman" w:hAnsi="Times New Roman" w:cs="Times New Roman"/>
          <w:color w:val="444444"/>
          <w:sz w:val="27"/>
          <w:szCs w:val="27"/>
          <w:highlight w:val="white"/>
        </w:rPr>
        <w:t>Kia</w:t>
      </w:r>
      <w:proofErr w:type="spellEnd"/>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Huawei</w:t>
      </w:r>
      <w:proofErr w:type="spellEnd"/>
      <w:r w:rsidR="00DF5186">
        <w:rPr>
          <w:rFonts w:ascii="Times New Roman" w:eastAsia="Times New Roman" w:hAnsi="Times New Roman" w:cs="Times New Roman"/>
          <w:color w:val="444444"/>
          <w:sz w:val="27"/>
          <w:szCs w:val="27"/>
          <w:highlight w:val="white"/>
        </w:rPr>
        <w:t xml:space="preserve">, Lenovo, HSBC, </w:t>
      </w:r>
      <w:proofErr w:type="spellStart"/>
      <w:r w:rsidR="00DF5186">
        <w:rPr>
          <w:rFonts w:ascii="Times New Roman" w:eastAsia="Times New Roman" w:hAnsi="Times New Roman" w:cs="Times New Roman"/>
          <w:color w:val="444444"/>
          <w:sz w:val="27"/>
          <w:szCs w:val="27"/>
          <w:highlight w:val="white"/>
        </w:rPr>
        <w:t>Tencent</w:t>
      </w:r>
      <w:proofErr w:type="spellEnd"/>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Lexus</w:t>
      </w:r>
      <w:proofErr w:type="spellEnd"/>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Alibaba</w:t>
      </w:r>
      <w:proofErr w:type="spellEnd"/>
      <w:r w:rsidR="00DF5186">
        <w:rPr>
          <w:rFonts w:ascii="Times New Roman" w:eastAsia="Times New Roman" w:hAnsi="Times New Roman" w:cs="Times New Roman"/>
          <w:color w:val="444444"/>
          <w:sz w:val="27"/>
          <w:szCs w:val="27"/>
          <w:highlight w:val="white"/>
        </w:rPr>
        <w:t xml:space="preserve">, ICBC, </w:t>
      </w:r>
      <w:proofErr w:type="spellStart"/>
      <w:r w:rsidR="00DF5186">
        <w:rPr>
          <w:rFonts w:ascii="Times New Roman" w:eastAsia="Times New Roman" w:hAnsi="Times New Roman" w:cs="Times New Roman"/>
          <w:color w:val="444444"/>
          <w:sz w:val="27"/>
          <w:szCs w:val="27"/>
          <w:highlight w:val="white"/>
        </w:rPr>
        <w:t>Baidu</w:t>
      </w:r>
      <w:proofErr w:type="spellEnd"/>
      <w:r w:rsidR="00DF5186">
        <w:rPr>
          <w:rFonts w:ascii="Times New Roman" w:eastAsia="Times New Roman" w:hAnsi="Times New Roman" w:cs="Times New Roman"/>
          <w:color w:val="444444"/>
          <w:sz w:val="27"/>
          <w:szCs w:val="27"/>
          <w:highlight w:val="white"/>
        </w:rPr>
        <w:t xml:space="preserve">, China </w:t>
      </w:r>
      <w:proofErr w:type="spellStart"/>
      <w:r w:rsidR="00DF5186">
        <w:rPr>
          <w:rFonts w:ascii="Times New Roman" w:eastAsia="Times New Roman" w:hAnsi="Times New Roman" w:cs="Times New Roman"/>
          <w:color w:val="444444"/>
          <w:sz w:val="27"/>
          <w:szCs w:val="27"/>
          <w:highlight w:val="white"/>
        </w:rPr>
        <w:t>Construction</w:t>
      </w:r>
      <w:proofErr w:type="spellEnd"/>
      <w:r w:rsidR="00DF5186">
        <w:rPr>
          <w:rFonts w:ascii="Times New Roman" w:eastAsia="Times New Roman" w:hAnsi="Times New Roman" w:cs="Times New Roman"/>
          <w:color w:val="444444"/>
          <w:sz w:val="27"/>
          <w:szCs w:val="27"/>
          <w:highlight w:val="white"/>
        </w:rPr>
        <w:t xml:space="preserve"> Bank, NTT, BT, Pingan, China</w:t>
      </w:r>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Life</w:t>
      </w:r>
      <w:proofErr w:type="spellEnd"/>
      <w:r w:rsidR="00DF5186">
        <w:rPr>
          <w:rFonts w:ascii="Times New Roman" w:eastAsia="Times New Roman" w:hAnsi="Times New Roman" w:cs="Times New Roman"/>
          <w:color w:val="444444"/>
          <w:sz w:val="27"/>
          <w:szCs w:val="27"/>
          <w:highlight w:val="white"/>
        </w:rPr>
        <w:t xml:space="preserve">, JD.com, </w:t>
      </w:r>
      <w:proofErr w:type="spellStart"/>
      <w:r w:rsidR="00DF5186">
        <w:rPr>
          <w:rFonts w:ascii="Times New Roman" w:eastAsia="Times New Roman" w:hAnsi="Times New Roman" w:cs="Times New Roman"/>
          <w:color w:val="444444"/>
          <w:sz w:val="27"/>
          <w:szCs w:val="27"/>
          <w:highlight w:val="white"/>
        </w:rPr>
        <w:t>Moutai</w:t>
      </w:r>
      <w:proofErr w:type="spellEnd"/>
      <w:r w:rsidR="00DF5186">
        <w:rPr>
          <w:rFonts w:ascii="Times New Roman" w:eastAsia="Times New Roman" w:hAnsi="Times New Roman" w:cs="Times New Roman"/>
          <w:color w:val="444444"/>
          <w:sz w:val="27"/>
          <w:szCs w:val="27"/>
          <w:highlight w:val="white"/>
        </w:rPr>
        <w:t xml:space="preserve">, </w:t>
      </w:r>
      <w:proofErr w:type="spellStart"/>
      <w:r w:rsidR="00DF5186">
        <w:rPr>
          <w:rFonts w:ascii="Times New Roman" w:eastAsia="Times New Roman" w:hAnsi="Times New Roman" w:cs="Times New Roman"/>
          <w:color w:val="444444"/>
          <w:sz w:val="27"/>
          <w:szCs w:val="27"/>
          <w:highlight w:val="white"/>
        </w:rPr>
        <w:t>Petrochina</w:t>
      </w:r>
      <w:proofErr w:type="spellEnd"/>
      <w:r w:rsidR="00DF5186">
        <w:rPr>
          <w:rFonts w:ascii="Times New Roman" w:eastAsia="Times New Roman" w:hAnsi="Times New Roman" w:cs="Times New Roman"/>
          <w:color w:val="444444"/>
          <w:sz w:val="27"/>
          <w:szCs w:val="27"/>
          <w:highlight w:val="white"/>
        </w:rPr>
        <w:t xml:space="preserve">, ANZ, </w:t>
      </w:r>
      <w:proofErr w:type="spellStart"/>
      <w:r w:rsidR="00DF5186">
        <w:rPr>
          <w:rFonts w:ascii="Times New Roman" w:eastAsia="Times New Roman" w:hAnsi="Times New Roman" w:cs="Times New Roman"/>
          <w:color w:val="444444"/>
          <w:sz w:val="27"/>
          <w:szCs w:val="27"/>
          <w:highlight w:val="white"/>
        </w:rPr>
        <w:t>Agricultural</w:t>
      </w:r>
      <w:proofErr w:type="spellEnd"/>
      <w:r w:rsidR="00DF5186">
        <w:rPr>
          <w:rFonts w:ascii="Times New Roman" w:eastAsia="Times New Roman" w:hAnsi="Times New Roman" w:cs="Times New Roman"/>
          <w:color w:val="444444"/>
          <w:sz w:val="27"/>
          <w:szCs w:val="27"/>
          <w:highlight w:val="white"/>
        </w:rPr>
        <w:t xml:space="preserve"> Bank of China, HDFC.</w:t>
      </w:r>
    </w:p>
    <w:p w:rsidR="00A426F9" w:rsidRDefault="00DF5186">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r>
        <w:rPr>
          <w:rFonts w:ascii="Times New Roman" w:eastAsia="Times New Roman" w:hAnsi="Times New Roman" w:cs="Times New Roman"/>
          <w:b/>
          <w:color w:val="444444"/>
          <w:sz w:val="27"/>
          <w:szCs w:val="27"/>
          <w:highlight w:val="white"/>
        </w:rPr>
        <w:t>7.  ¿Cuántas marcas iberoamericanas aparecen en los tres estudios de 2016 (considerando todas las marcas)? ¿Cuáles son?</w:t>
      </w:r>
    </w:p>
    <w:p w:rsidR="00A426F9" w:rsidRDefault="006D5532">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color w:val="444444"/>
          <w:sz w:val="27"/>
          <w:szCs w:val="27"/>
          <w:highlight w:val="white"/>
        </w:rPr>
      </w:pPr>
      <w:r>
        <w:rPr>
          <w:rFonts w:ascii="Times New Roman" w:eastAsia="Times New Roman" w:hAnsi="Times New Roman" w:cs="Times New Roman"/>
          <w:color w:val="444444"/>
          <w:sz w:val="27"/>
          <w:szCs w:val="27"/>
          <w:highlight w:val="white"/>
        </w:rPr>
        <w:t xml:space="preserve">Se encuentran cinco marcas iberoamericanas, de las cuales cuatro son españolas. </w:t>
      </w:r>
      <w:r w:rsidR="00DF5186">
        <w:rPr>
          <w:rFonts w:ascii="Times New Roman" w:eastAsia="Times New Roman" w:hAnsi="Times New Roman" w:cs="Times New Roman"/>
          <w:color w:val="444444"/>
          <w:sz w:val="27"/>
          <w:szCs w:val="27"/>
          <w:highlight w:val="white"/>
        </w:rPr>
        <w:t>Zara, Santander, Corona Extra, BBVA, Movistar.</w:t>
      </w: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b/>
          <w:color w:val="444444"/>
          <w:sz w:val="27"/>
          <w:szCs w:val="27"/>
          <w:highlight w:val="white"/>
        </w:rPr>
      </w:pPr>
    </w:p>
    <w:p w:rsidR="00A426F9" w:rsidRDefault="00A426F9">
      <w:pPr>
        <w:pBdr>
          <w:top w:val="single" w:sz="2" w:space="0" w:color="auto"/>
          <w:left w:val="single" w:sz="2" w:space="0" w:color="auto"/>
          <w:bottom w:val="single" w:sz="2" w:space="0" w:color="auto"/>
          <w:right w:val="single" w:sz="2" w:space="0" w:color="auto"/>
          <w:between w:val="single" w:sz="2" w:space="0" w:color="auto"/>
        </w:pBdr>
        <w:shd w:val="clear" w:color="auto" w:fill="FFFFFF"/>
        <w:spacing w:after="300" w:line="240" w:lineRule="auto"/>
        <w:rPr>
          <w:rFonts w:ascii="Times New Roman" w:eastAsia="Times New Roman" w:hAnsi="Times New Roman" w:cs="Times New Roman"/>
          <w:color w:val="444444"/>
          <w:sz w:val="24"/>
          <w:szCs w:val="24"/>
        </w:rPr>
      </w:pPr>
    </w:p>
    <w:sectPr w:rsidR="00A426F9">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6F9"/>
    <w:rsid w:val="006D5532"/>
    <w:rsid w:val="00A426F9"/>
    <w:rsid w:val="00DF518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BBC791-47DC-431D-9885-5DB513443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s-MX" w:eastAsia="es-MX"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contextualSpacing/>
      <w:outlineLvl w:val="0"/>
    </w:pPr>
    <w:rPr>
      <w:sz w:val="40"/>
      <w:szCs w:val="40"/>
    </w:rPr>
  </w:style>
  <w:style w:type="paragraph" w:styleId="Ttulo2">
    <w:name w:val="heading 2"/>
    <w:basedOn w:val="Normal"/>
    <w:next w:val="Normal"/>
    <w:pPr>
      <w:keepNext/>
      <w:keepLines/>
      <w:spacing w:before="360" w:after="120"/>
      <w:contextualSpacing/>
      <w:outlineLvl w:val="1"/>
    </w:pPr>
    <w:rPr>
      <w:sz w:val="32"/>
      <w:szCs w:val="32"/>
    </w:rPr>
  </w:style>
  <w:style w:type="paragraph" w:styleId="Ttulo3">
    <w:name w:val="heading 3"/>
    <w:basedOn w:val="Normal"/>
    <w:next w:val="Normal"/>
    <w:pPr>
      <w:keepNext/>
      <w:keepLines/>
      <w:spacing w:before="320" w:after="80"/>
      <w:contextualSpacing/>
      <w:outlineLvl w:val="2"/>
    </w:pPr>
    <w:rPr>
      <w:color w:val="434343"/>
      <w:sz w:val="28"/>
      <w:szCs w:val="28"/>
    </w:rPr>
  </w:style>
  <w:style w:type="paragraph" w:styleId="Ttulo4">
    <w:name w:val="heading 4"/>
    <w:basedOn w:val="Normal"/>
    <w:next w:val="Normal"/>
    <w:pPr>
      <w:keepNext/>
      <w:keepLines/>
      <w:spacing w:before="280" w:after="80"/>
      <w:contextualSpacing/>
      <w:outlineLvl w:val="3"/>
    </w:pPr>
    <w:rPr>
      <w:color w:val="666666"/>
      <w:sz w:val="24"/>
      <w:szCs w:val="24"/>
    </w:rPr>
  </w:style>
  <w:style w:type="paragraph" w:styleId="Ttulo5">
    <w:name w:val="heading 5"/>
    <w:basedOn w:val="Normal"/>
    <w:next w:val="Normal"/>
    <w:pPr>
      <w:keepNext/>
      <w:keepLines/>
      <w:spacing w:before="240" w:after="80"/>
      <w:contextualSpacing/>
      <w:outlineLvl w:val="4"/>
    </w:pPr>
    <w:rPr>
      <w:color w:val="666666"/>
    </w:rPr>
  </w:style>
  <w:style w:type="paragraph" w:styleId="Ttulo6">
    <w:name w:val="heading 6"/>
    <w:basedOn w:val="Normal"/>
    <w:next w:val="Normal"/>
    <w:pPr>
      <w:keepNext/>
      <w:keepLines/>
      <w:spacing w:before="240" w:after="80"/>
      <w:contextualSpacing/>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contextualSpacing/>
    </w:pPr>
    <w:rPr>
      <w:sz w:val="52"/>
      <w:szCs w:val="52"/>
    </w:rPr>
  </w:style>
  <w:style w:type="paragraph" w:styleId="Subttulo">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0" w:type="dxa"/>
        <w:bottom w:w="0" w:type="dxa"/>
        <w:right w:w="0" w:type="dxa"/>
      </w:tblCellMar>
    </w:tblPr>
  </w:style>
  <w:style w:type="table" w:customStyle="1" w:styleId="a1">
    <w:basedOn w:val="TableNormal"/>
    <w:tblPr>
      <w:tblStyleRowBandSize w:val="1"/>
      <w:tblStyleColBandSize w:val="1"/>
      <w:tblCellMar>
        <w:top w:w="0" w:type="dxa"/>
        <w:left w:w="0" w:type="dxa"/>
        <w:bottom w:w="0" w:type="dxa"/>
        <w:right w:w="0" w:type="dxa"/>
      </w:tblCellMar>
    </w:tbl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925</Words>
  <Characters>5093</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Alam Diaz</dc:creator>
  <cp:lastModifiedBy>Alam Ajitzi Díaz</cp:lastModifiedBy>
  <cp:revision>2</cp:revision>
  <dcterms:created xsi:type="dcterms:W3CDTF">2017-06-20T02:36:00Z</dcterms:created>
  <dcterms:modified xsi:type="dcterms:W3CDTF">2017-06-20T02:36:00Z</dcterms:modified>
</cp:coreProperties>
</file>