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7AF" w:rsidRPr="00A447AF" w:rsidRDefault="00A447AF" w:rsidP="00A447AF">
      <w:pPr>
        <w:jc w:val="center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>Maestría Periodismo Digital</w:t>
      </w:r>
    </w:p>
    <w:p w:rsidR="00A447AF" w:rsidRPr="00A447AF" w:rsidRDefault="00A447AF">
      <w:pPr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Alumna: </w:t>
      </w:r>
      <w:r w:rsidRPr="00A447AF">
        <w:rPr>
          <w:rFonts w:ascii="Arial" w:hAnsi="Arial" w:cs="Arial"/>
          <w:sz w:val="24"/>
          <w:szCs w:val="24"/>
        </w:rPr>
        <w:t>Fernanda German</w:t>
      </w:r>
      <w:r w:rsidRPr="00A447AF">
        <w:rPr>
          <w:rFonts w:ascii="Arial" w:hAnsi="Arial" w:cs="Arial"/>
          <w:b/>
          <w:sz w:val="24"/>
          <w:szCs w:val="24"/>
        </w:rPr>
        <w:t xml:space="preserve"> </w:t>
      </w:r>
    </w:p>
    <w:p w:rsidR="00A447AF" w:rsidRPr="00A447AF" w:rsidRDefault="00A447AF">
      <w:pPr>
        <w:rPr>
          <w:rFonts w:ascii="Arial" w:hAnsi="Arial" w:cs="Arial"/>
          <w:b/>
          <w:sz w:val="24"/>
          <w:szCs w:val="24"/>
        </w:rPr>
      </w:pPr>
    </w:p>
    <w:p w:rsidR="00154ADD" w:rsidRPr="00A447AF" w:rsidRDefault="00A447AF">
      <w:pPr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CAPÍTULO 2: </w:t>
      </w:r>
      <w:r w:rsidR="00145E10" w:rsidRPr="00A447AF">
        <w:rPr>
          <w:rFonts w:ascii="Arial" w:hAnsi="Arial" w:cs="Arial"/>
          <w:b/>
          <w:sz w:val="24"/>
          <w:szCs w:val="24"/>
        </w:rPr>
        <w:t>FRENTE AL FUTURO Y AL AZAR:</w:t>
      </w:r>
    </w:p>
    <w:p w:rsidR="00145E10" w:rsidRPr="00A447AF" w:rsidRDefault="00145E10">
      <w:pPr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EL CÁLCULO DE LA PROBABILIDAD </w:t>
      </w:r>
    </w:p>
    <w:p w:rsidR="00145E10" w:rsidRPr="00A447AF" w:rsidRDefault="00145E10">
      <w:pPr>
        <w:rPr>
          <w:rFonts w:ascii="Arial" w:hAnsi="Arial" w:cs="Arial"/>
          <w:sz w:val="24"/>
          <w:szCs w:val="24"/>
        </w:rPr>
      </w:pPr>
    </w:p>
    <w:p w:rsidR="001E126B" w:rsidRPr="00A447AF" w:rsidRDefault="00145E10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1944 concepción científica de la </w:t>
      </w:r>
      <w:r w:rsidR="007E41F8" w:rsidRPr="00A447AF">
        <w:rPr>
          <w:rFonts w:ascii="Arial" w:hAnsi="Arial" w:cs="Arial"/>
          <w:b/>
          <w:sz w:val="24"/>
          <w:szCs w:val="24"/>
        </w:rPr>
        <w:t xml:space="preserve">estrategia </w:t>
      </w:r>
      <w:r w:rsidR="007E41F8" w:rsidRPr="00A447AF">
        <w:rPr>
          <w:rFonts w:ascii="Arial" w:hAnsi="Arial" w:cs="Arial"/>
          <w:sz w:val="24"/>
          <w:szCs w:val="24"/>
        </w:rPr>
        <w:t>a través de la teoría de los juegos (un “juego” es una situación conflictiva en la que priman intereses contrapuestos de individuos o instituciones)</w:t>
      </w:r>
      <w:r w:rsidR="001E126B" w:rsidRPr="00A447AF">
        <w:rPr>
          <w:rFonts w:ascii="Arial" w:hAnsi="Arial" w:cs="Arial"/>
          <w:sz w:val="24"/>
          <w:szCs w:val="24"/>
        </w:rPr>
        <w:t>.</w:t>
      </w:r>
    </w:p>
    <w:p w:rsidR="00145E10" w:rsidRPr="00A447AF" w:rsidRDefault="00D27C85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Genealogía de conocimientos y teorías definen dos caminos entrelazados </w:t>
      </w:r>
      <w:r w:rsidRPr="00A447AF">
        <w:rPr>
          <w:rFonts w:ascii="Arial" w:hAnsi="Arial" w:cs="Arial"/>
          <w:b/>
          <w:sz w:val="24"/>
          <w:szCs w:val="24"/>
        </w:rPr>
        <w:t xml:space="preserve">: </w:t>
      </w:r>
    </w:p>
    <w:p w:rsidR="00D27C85" w:rsidRPr="00A447AF" w:rsidRDefault="00D27C85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>La evolución de la manera en que los hombres han ido encarando el futuro a través de los tiempos.</w:t>
      </w:r>
    </w:p>
    <w:p w:rsidR="00D27C85" w:rsidRDefault="00D27C85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La reflexión sobre el azar, la probabilidad y la incertidumbre. </w:t>
      </w:r>
    </w:p>
    <w:p w:rsidR="00A447AF" w:rsidRPr="00A447AF" w:rsidRDefault="00A447AF" w:rsidP="00A447AF">
      <w:pPr>
        <w:pStyle w:val="Prrafodelista"/>
        <w:spacing w:line="276" w:lineRule="auto"/>
        <w:ind w:left="1440"/>
        <w:jc w:val="both"/>
        <w:rPr>
          <w:rFonts w:ascii="Arial" w:hAnsi="Arial" w:cs="Arial"/>
          <w:sz w:val="24"/>
          <w:szCs w:val="24"/>
        </w:rPr>
      </w:pPr>
    </w:p>
    <w:p w:rsidR="005B10EE" w:rsidRPr="00A447AF" w:rsidRDefault="005B10EE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Las bases culturales del futuro y del riesgo: </w:t>
      </w:r>
      <w:r w:rsidRPr="00A447AF">
        <w:rPr>
          <w:rFonts w:ascii="Arial" w:hAnsi="Arial" w:cs="Arial"/>
          <w:sz w:val="24"/>
          <w:szCs w:val="24"/>
        </w:rPr>
        <w:t>juicios de probabilidad en nuestra vida cotidiana, estu</w:t>
      </w:r>
      <w:r w:rsidR="00741B14" w:rsidRPr="00A447AF">
        <w:rPr>
          <w:rFonts w:ascii="Arial" w:hAnsi="Arial" w:cs="Arial"/>
          <w:sz w:val="24"/>
          <w:szCs w:val="24"/>
        </w:rPr>
        <w:t xml:space="preserve">dios sofisticados de audiencia (medición de índice de audiencia estimado probabilísticamente). </w:t>
      </w:r>
    </w:p>
    <w:p w:rsidR="00741B14" w:rsidRPr="00A447AF" w:rsidRDefault="00741B14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George Kelly (1955) </w:t>
      </w:r>
      <w:r w:rsidRPr="00A447AF">
        <w:rPr>
          <w:rFonts w:ascii="Arial" w:hAnsi="Arial" w:cs="Arial"/>
          <w:sz w:val="24"/>
          <w:szCs w:val="24"/>
        </w:rPr>
        <w:t>la gente no reacciona frente a su pasado, sino se preocupa por plantear los problemas del futuro.</w:t>
      </w:r>
    </w:p>
    <w:p w:rsidR="00741B14" w:rsidRPr="00A447AF" w:rsidRDefault="006659D6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 La preocupación por el riesgo </w:t>
      </w:r>
      <w:r w:rsidR="00413DA2" w:rsidRPr="00A447AF">
        <w:rPr>
          <w:rFonts w:ascii="Arial" w:hAnsi="Arial" w:cs="Arial"/>
          <w:sz w:val="24"/>
          <w:szCs w:val="24"/>
        </w:rPr>
        <w:t>y el futuro no ha sido una constante en la historia del hombre antes del Renacimiento se dejaban en manos de los dioses.</w:t>
      </w:r>
    </w:p>
    <w:p w:rsidR="00413DA2" w:rsidRPr="00A447AF" w:rsidRDefault="00413DA2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Las creencias y la cultura </w:t>
      </w:r>
    </w:p>
    <w:p w:rsidR="00413DA2" w:rsidRPr="00A447AF" w:rsidRDefault="00413DA2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Los orígenes </w:t>
      </w:r>
      <w:r w:rsidR="00D538A1" w:rsidRPr="00A447AF">
        <w:rPr>
          <w:rFonts w:ascii="Arial" w:hAnsi="Arial" w:cs="Arial"/>
          <w:sz w:val="24"/>
          <w:szCs w:val="24"/>
        </w:rPr>
        <w:t>los primeros pobladores vivieron en la inmediatez del presente (estímulos, supervivencia) lo que llevo a la aparición del pensamiento anticipativo y estratégico en la cual se intentaba controlar simbólicamente la naturaleza: pintura y maleficio, las creencias y la magia fueron estrategias de cohesión del grupo y de poder político.</w:t>
      </w:r>
    </w:p>
    <w:p w:rsidR="00D03485" w:rsidRPr="00A447AF" w:rsidRDefault="00037C68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En China se basan en el sincronismo de la coincidencia de los otros mas no en la ciencia basada en la causalidad. </w:t>
      </w:r>
    </w:p>
    <w:p w:rsidR="00BA7B40" w:rsidRPr="00A447AF" w:rsidRDefault="00BA7B40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>Libro de las mutaciones</w:t>
      </w:r>
      <w:r w:rsidRPr="00A447AF">
        <w:rPr>
          <w:rFonts w:ascii="Arial" w:hAnsi="Arial" w:cs="Arial"/>
          <w:sz w:val="24"/>
          <w:szCs w:val="24"/>
        </w:rPr>
        <w:t xml:space="preserve"> </w:t>
      </w:r>
      <w:r w:rsidRPr="00A447AF">
        <w:rPr>
          <w:rFonts w:ascii="Arial" w:hAnsi="Arial" w:cs="Arial"/>
          <w:b/>
          <w:sz w:val="24"/>
          <w:szCs w:val="24"/>
        </w:rPr>
        <w:t>l</w:t>
      </w:r>
      <w:r w:rsidR="00D03485" w:rsidRPr="00A447AF">
        <w:rPr>
          <w:rFonts w:ascii="Arial" w:hAnsi="Arial" w:cs="Arial"/>
          <w:b/>
          <w:sz w:val="24"/>
          <w:szCs w:val="24"/>
        </w:rPr>
        <w:t>a</w:t>
      </w:r>
      <w:r w:rsidR="00D03485" w:rsidRPr="00A447AF">
        <w:rPr>
          <w:rFonts w:ascii="Arial" w:hAnsi="Arial" w:cs="Arial"/>
          <w:sz w:val="24"/>
          <w:szCs w:val="24"/>
        </w:rPr>
        <w:t xml:space="preserve"> ley de mutación actos, la persona que actúa y el cosmo, (los oráculos</w:t>
      </w:r>
      <w:r w:rsidRPr="00A447AF">
        <w:rPr>
          <w:rFonts w:ascii="Arial" w:hAnsi="Arial" w:cs="Arial"/>
          <w:sz w:val="24"/>
          <w:szCs w:val="24"/>
        </w:rPr>
        <w:t>: dan respuesta a las interrogantes</w:t>
      </w:r>
      <w:r w:rsidR="00D03485" w:rsidRPr="00A447AF">
        <w:rPr>
          <w:rFonts w:ascii="Arial" w:hAnsi="Arial" w:cs="Arial"/>
          <w:sz w:val="24"/>
          <w:szCs w:val="24"/>
        </w:rPr>
        <w:t>)</w:t>
      </w:r>
      <w:r w:rsidRPr="00A447AF">
        <w:rPr>
          <w:rFonts w:ascii="Arial" w:hAnsi="Arial" w:cs="Arial"/>
          <w:sz w:val="24"/>
          <w:szCs w:val="24"/>
        </w:rPr>
        <w:t xml:space="preserve">. </w:t>
      </w:r>
      <w:r w:rsidR="00037C68" w:rsidRPr="00A447AF">
        <w:rPr>
          <w:rFonts w:ascii="Arial" w:hAnsi="Arial" w:cs="Arial"/>
          <w:sz w:val="24"/>
          <w:szCs w:val="24"/>
        </w:rPr>
        <w:t xml:space="preserve"> </w:t>
      </w:r>
      <w:r w:rsidRPr="00A447AF">
        <w:rPr>
          <w:rFonts w:ascii="Arial" w:hAnsi="Arial" w:cs="Arial"/>
          <w:sz w:val="24"/>
          <w:szCs w:val="24"/>
        </w:rPr>
        <w:t xml:space="preserve">A cada signo/ situación se daba el respectivo consejo, juicio o dictamen. </w:t>
      </w:r>
    </w:p>
    <w:p w:rsidR="00BA7B40" w:rsidRPr="00A447AF" w:rsidRDefault="00BA7B40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 La influencia del libro de las mutaciones ayudo a los orientales a trabajar en el cálculo de las estrategias.</w:t>
      </w:r>
    </w:p>
    <w:p w:rsidR="00BA7B40" w:rsidRDefault="00BA7B40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 </w:t>
      </w:r>
      <w:r w:rsidRPr="00A447AF">
        <w:rPr>
          <w:rFonts w:ascii="Arial" w:hAnsi="Arial" w:cs="Arial"/>
          <w:b/>
          <w:sz w:val="24"/>
          <w:szCs w:val="24"/>
        </w:rPr>
        <w:t xml:space="preserve">Los antecedentes Occidentales: Grecia y la ruptura con la concepción mítica del mundo: </w:t>
      </w:r>
      <w:r w:rsidR="00EC70BB" w:rsidRPr="00A447AF">
        <w:rPr>
          <w:rFonts w:ascii="Arial" w:hAnsi="Arial" w:cs="Arial"/>
          <w:sz w:val="24"/>
          <w:szCs w:val="24"/>
        </w:rPr>
        <w:t>Da paso a una reflexión sobre el hombre y su más poderoso instrumento la razón/lenguaje.</w:t>
      </w:r>
      <w:r w:rsidR="00EC70BB" w:rsidRPr="00A447AF">
        <w:rPr>
          <w:rFonts w:ascii="Arial" w:hAnsi="Arial" w:cs="Arial"/>
          <w:b/>
          <w:sz w:val="24"/>
          <w:szCs w:val="24"/>
        </w:rPr>
        <w:t xml:space="preserve"> </w:t>
      </w:r>
    </w:p>
    <w:p w:rsidR="00A447AF" w:rsidRDefault="00A447AF" w:rsidP="00A447AF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A447AF" w:rsidRDefault="00A447AF" w:rsidP="00A447AF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A447AF" w:rsidRPr="00A447AF" w:rsidRDefault="00A447AF" w:rsidP="00A447AF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EC70BB" w:rsidRPr="00A447AF" w:rsidRDefault="00EC70BB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 </w:t>
      </w:r>
      <w:r w:rsidRPr="00A447AF">
        <w:rPr>
          <w:rFonts w:ascii="Arial" w:hAnsi="Arial" w:cs="Arial"/>
          <w:b/>
          <w:sz w:val="24"/>
          <w:szCs w:val="24"/>
        </w:rPr>
        <w:t>La numeración arábica:</w:t>
      </w:r>
      <w:r w:rsidRPr="00A447AF">
        <w:rPr>
          <w:rFonts w:ascii="Arial" w:hAnsi="Arial" w:cs="Arial"/>
          <w:sz w:val="24"/>
          <w:szCs w:val="24"/>
        </w:rPr>
        <w:t xml:space="preserve"> reglas para computar o métodos de cálculo.</w:t>
      </w:r>
      <w:r w:rsidRPr="00A447AF">
        <w:rPr>
          <w:rFonts w:ascii="Arial" w:hAnsi="Arial" w:cs="Arial"/>
          <w:b/>
          <w:sz w:val="24"/>
          <w:szCs w:val="24"/>
        </w:rPr>
        <w:t xml:space="preserve"> </w:t>
      </w:r>
    </w:p>
    <w:p w:rsidR="00EC70BB" w:rsidRPr="00A447AF" w:rsidRDefault="00206E58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El Renacimiento: </w:t>
      </w:r>
      <w:r w:rsidRPr="00A447AF">
        <w:rPr>
          <w:rFonts w:ascii="Arial" w:hAnsi="Arial" w:cs="Arial"/>
          <w:sz w:val="24"/>
          <w:szCs w:val="24"/>
        </w:rPr>
        <w:t xml:space="preserve">nueva concepción del futuro y el riesgo. La contabilidad y la prospectiva. </w:t>
      </w:r>
    </w:p>
    <w:p w:rsidR="00206E58" w:rsidRPr="00A447AF" w:rsidRDefault="00206E58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La revolución científica: </w:t>
      </w:r>
      <w:r w:rsidRPr="00A447AF">
        <w:rPr>
          <w:rFonts w:ascii="Arial" w:hAnsi="Arial" w:cs="Arial"/>
          <w:sz w:val="24"/>
          <w:szCs w:val="24"/>
        </w:rPr>
        <w:t xml:space="preserve">la naturaleza esta escrita en lenguaje matemático, aplicadas a las distintas ramas de las ciencias físicas.  Lo universal sobre lo particular y la racionalidad causal frente al orden divino y al azar. </w:t>
      </w:r>
    </w:p>
    <w:p w:rsidR="00206E58" w:rsidRPr="00A447AF" w:rsidRDefault="00206E58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Las probabilidades: </w:t>
      </w:r>
      <w:r w:rsidRPr="00A447AF">
        <w:rPr>
          <w:rFonts w:ascii="Arial" w:hAnsi="Arial" w:cs="Arial"/>
          <w:sz w:val="24"/>
          <w:szCs w:val="24"/>
        </w:rPr>
        <w:t xml:space="preserve">Guía para el éxito de procesos lógicos abriendo un cauce de aplicación a las decisiones de la vida cotidiana de los negocios o la familia. </w:t>
      </w:r>
    </w:p>
    <w:p w:rsidR="003F7BC2" w:rsidRPr="00A447AF" w:rsidRDefault="003F7BC2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Paradigmas estratégicos en la comunicación pública: ¿Es concebible una ciencia de la comunicación humana? </w:t>
      </w:r>
      <w:r w:rsidRPr="00A447AF">
        <w:rPr>
          <w:rFonts w:ascii="Arial" w:hAnsi="Arial" w:cs="Arial"/>
          <w:sz w:val="24"/>
          <w:szCs w:val="24"/>
        </w:rPr>
        <w:t xml:space="preserve">La teoría matemática de la información: Shannon y </w:t>
      </w:r>
      <w:proofErr w:type="spellStart"/>
      <w:r w:rsidRPr="00A447AF">
        <w:rPr>
          <w:rFonts w:ascii="Arial" w:hAnsi="Arial" w:cs="Arial"/>
          <w:sz w:val="24"/>
          <w:szCs w:val="24"/>
        </w:rPr>
        <w:t>Weaver</w:t>
      </w:r>
      <w:proofErr w:type="spellEnd"/>
      <w:r w:rsidRPr="00A447AF">
        <w:rPr>
          <w:rFonts w:ascii="Arial" w:hAnsi="Arial" w:cs="Arial"/>
          <w:sz w:val="24"/>
          <w:szCs w:val="24"/>
        </w:rPr>
        <w:t xml:space="preserve"> la propiedad más relevante del mensaje era la de transmitir información sin ruidos ni ambigüedades. </w:t>
      </w:r>
    </w:p>
    <w:p w:rsidR="003F7BC2" w:rsidRPr="00A447AF" w:rsidRDefault="003F7BC2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 xml:space="preserve">Conciliar libertad con probabilidad: </w:t>
      </w:r>
      <w:r w:rsidRPr="00A447AF">
        <w:rPr>
          <w:rFonts w:ascii="Arial" w:hAnsi="Arial" w:cs="Arial"/>
          <w:sz w:val="24"/>
          <w:szCs w:val="24"/>
        </w:rPr>
        <w:t xml:space="preserve">Se puede estudiar muestras probabilísticas de las audiencias. </w:t>
      </w:r>
    </w:p>
    <w:p w:rsidR="003F7BC2" w:rsidRPr="00A447AF" w:rsidRDefault="00B861B8" w:rsidP="00A447AF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b/>
          <w:sz w:val="24"/>
          <w:szCs w:val="24"/>
        </w:rPr>
        <w:t>Métodos cuantitativos y la comunicación pública:</w:t>
      </w:r>
      <w:r w:rsidRPr="00A447A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447AF">
        <w:rPr>
          <w:rFonts w:ascii="Arial" w:hAnsi="Arial" w:cs="Arial"/>
          <w:sz w:val="24"/>
          <w:szCs w:val="24"/>
        </w:rPr>
        <w:t>Colley</w:t>
      </w:r>
      <w:proofErr w:type="spellEnd"/>
      <w:r w:rsidRPr="00A447AF">
        <w:rPr>
          <w:rFonts w:ascii="Arial" w:hAnsi="Arial" w:cs="Arial"/>
          <w:sz w:val="24"/>
          <w:szCs w:val="24"/>
        </w:rPr>
        <w:t xml:space="preserve"> define cuatro requisitos: </w:t>
      </w:r>
    </w:p>
    <w:p w:rsidR="00B861B8" w:rsidRPr="00A447AF" w:rsidRDefault="00B861B8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Los parámetros comunicativos que han de ser objeto de la medición. </w:t>
      </w:r>
    </w:p>
    <w:p w:rsidR="00B861B8" w:rsidRPr="00A447AF" w:rsidRDefault="00B861B8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>El público objetivo.</w:t>
      </w:r>
    </w:p>
    <w:p w:rsidR="00B861B8" w:rsidRPr="00A447AF" w:rsidRDefault="00B861B8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>El grado que desea alcanzar dentro del parámetro</w:t>
      </w:r>
    </w:p>
    <w:p w:rsidR="00B861B8" w:rsidRPr="00A447AF" w:rsidRDefault="00B861B8" w:rsidP="00A447AF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447AF">
        <w:rPr>
          <w:rFonts w:ascii="Arial" w:hAnsi="Arial" w:cs="Arial"/>
          <w:sz w:val="24"/>
          <w:szCs w:val="24"/>
        </w:rPr>
        <w:t xml:space="preserve">El momento en que debe hacerse la medición. </w:t>
      </w:r>
    </w:p>
    <w:p w:rsidR="00D27C85" w:rsidRPr="00A447AF" w:rsidRDefault="00D27C85" w:rsidP="00A447AF">
      <w:pPr>
        <w:pStyle w:val="Prrafodelista"/>
        <w:spacing w:line="276" w:lineRule="auto"/>
        <w:ind w:left="1440"/>
        <w:jc w:val="both"/>
        <w:rPr>
          <w:rFonts w:ascii="Arial" w:hAnsi="Arial" w:cs="Arial"/>
          <w:sz w:val="24"/>
          <w:szCs w:val="24"/>
        </w:rPr>
      </w:pPr>
    </w:p>
    <w:p w:rsidR="00D27C85" w:rsidRPr="00A447AF" w:rsidRDefault="00D27C85" w:rsidP="00A447AF">
      <w:pPr>
        <w:pStyle w:val="Prrafodelista"/>
        <w:spacing w:line="276" w:lineRule="auto"/>
        <w:ind w:left="1440"/>
        <w:rPr>
          <w:rFonts w:ascii="Arial" w:hAnsi="Arial" w:cs="Arial"/>
          <w:sz w:val="24"/>
          <w:szCs w:val="24"/>
        </w:rPr>
      </w:pPr>
    </w:p>
    <w:p w:rsidR="005B10EE" w:rsidRPr="00A447AF" w:rsidRDefault="005B10EE" w:rsidP="00A447AF">
      <w:pPr>
        <w:pStyle w:val="Prrafodelista"/>
        <w:spacing w:line="276" w:lineRule="auto"/>
        <w:ind w:left="216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D27C85" w:rsidRPr="00A447AF" w:rsidRDefault="00D27C85" w:rsidP="00A447AF">
      <w:pPr>
        <w:spacing w:line="276" w:lineRule="auto"/>
        <w:ind w:left="1080"/>
        <w:jc w:val="both"/>
        <w:rPr>
          <w:rFonts w:ascii="Arial" w:hAnsi="Arial" w:cs="Arial"/>
          <w:sz w:val="24"/>
          <w:szCs w:val="24"/>
        </w:rPr>
      </w:pPr>
    </w:p>
    <w:sectPr w:rsidR="00D27C85" w:rsidRPr="00A447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0A2DC5"/>
    <w:multiLevelType w:val="hybridMultilevel"/>
    <w:tmpl w:val="D3842F5E"/>
    <w:lvl w:ilvl="0" w:tplc="8B3AB3B6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E9F745A"/>
    <w:multiLevelType w:val="hybridMultilevel"/>
    <w:tmpl w:val="0218B4AC"/>
    <w:lvl w:ilvl="0" w:tplc="A22CFE7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8D0AA2"/>
    <w:multiLevelType w:val="hybridMultilevel"/>
    <w:tmpl w:val="18967EB6"/>
    <w:lvl w:ilvl="0" w:tplc="300A000F">
      <w:start w:val="1"/>
      <w:numFmt w:val="decimal"/>
      <w:lvlText w:val="%1."/>
      <w:lvlJc w:val="left"/>
      <w:pPr>
        <w:ind w:left="2160" w:hanging="360"/>
      </w:pPr>
    </w:lvl>
    <w:lvl w:ilvl="1" w:tplc="300A0019" w:tentative="1">
      <w:start w:val="1"/>
      <w:numFmt w:val="lowerLetter"/>
      <w:lvlText w:val="%2."/>
      <w:lvlJc w:val="left"/>
      <w:pPr>
        <w:ind w:left="2880" w:hanging="360"/>
      </w:pPr>
    </w:lvl>
    <w:lvl w:ilvl="2" w:tplc="300A001B" w:tentative="1">
      <w:start w:val="1"/>
      <w:numFmt w:val="lowerRoman"/>
      <w:lvlText w:val="%3."/>
      <w:lvlJc w:val="right"/>
      <w:pPr>
        <w:ind w:left="3600" w:hanging="180"/>
      </w:pPr>
    </w:lvl>
    <w:lvl w:ilvl="3" w:tplc="300A000F" w:tentative="1">
      <w:start w:val="1"/>
      <w:numFmt w:val="decimal"/>
      <w:lvlText w:val="%4."/>
      <w:lvlJc w:val="left"/>
      <w:pPr>
        <w:ind w:left="4320" w:hanging="360"/>
      </w:pPr>
    </w:lvl>
    <w:lvl w:ilvl="4" w:tplc="300A0019" w:tentative="1">
      <w:start w:val="1"/>
      <w:numFmt w:val="lowerLetter"/>
      <w:lvlText w:val="%5."/>
      <w:lvlJc w:val="left"/>
      <w:pPr>
        <w:ind w:left="5040" w:hanging="360"/>
      </w:pPr>
    </w:lvl>
    <w:lvl w:ilvl="5" w:tplc="300A001B" w:tentative="1">
      <w:start w:val="1"/>
      <w:numFmt w:val="lowerRoman"/>
      <w:lvlText w:val="%6."/>
      <w:lvlJc w:val="right"/>
      <w:pPr>
        <w:ind w:left="5760" w:hanging="180"/>
      </w:pPr>
    </w:lvl>
    <w:lvl w:ilvl="6" w:tplc="300A000F" w:tentative="1">
      <w:start w:val="1"/>
      <w:numFmt w:val="decimal"/>
      <w:lvlText w:val="%7."/>
      <w:lvlJc w:val="left"/>
      <w:pPr>
        <w:ind w:left="6480" w:hanging="360"/>
      </w:pPr>
    </w:lvl>
    <w:lvl w:ilvl="7" w:tplc="300A0019" w:tentative="1">
      <w:start w:val="1"/>
      <w:numFmt w:val="lowerLetter"/>
      <w:lvlText w:val="%8."/>
      <w:lvlJc w:val="left"/>
      <w:pPr>
        <w:ind w:left="7200" w:hanging="360"/>
      </w:pPr>
    </w:lvl>
    <w:lvl w:ilvl="8" w:tplc="30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3E946FB2"/>
    <w:multiLevelType w:val="hybridMultilevel"/>
    <w:tmpl w:val="94340A4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1878BC"/>
    <w:multiLevelType w:val="hybridMultilevel"/>
    <w:tmpl w:val="ED78DA5A"/>
    <w:lvl w:ilvl="0" w:tplc="DF7C20A0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  <w:b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E10"/>
    <w:rsid w:val="00037C68"/>
    <w:rsid w:val="00145E10"/>
    <w:rsid w:val="00154ADD"/>
    <w:rsid w:val="001E126B"/>
    <w:rsid w:val="00206E58"/>
    <w:rsid w:val="003E7B20"/>
    <w:rsid w:val="003F7BC2"/>
    <w:rsid w:val="00413DA2"/>
    <w:rsid w:val="005B10EE"/>
    <w:rsid w:val="006659D6"/>
    <w:rsid w:val="00741B14"/>
    <w:rsid w:val="007E41F8"/>
    <w:rsid w:val="00A447AF"/>
    <w:rsid w:val="00B861B8"/>
    <w:rsid w:val="00BA7B40"/>
    <w:rsid w:val="00D03485"/>
    <w:rsid w:val="00D27C85"/>
    <w:rsid w:val="00D538A1"/>
    <w:rsid w:val="00EC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3DAF2A3-050A-4F4C-8F15-2BFB26F1D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45E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DB6AD4-EF5C-45CD-99C9-37258A7CB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492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PC_01_LAB1</dc:creator>
  <cp:keywords/>
  <dc:description/>
  <cp:lastModifiedBy>PC_01_LAB1</cp:lastModifiedBy>
  <cp:revision>9</cp:revision>
  <dcterms:created xsi:type="dcterms:W3CDTF">2017-02-11T18:04:00Z</dcterms:created>
  <dcterms:modified xsi:type="dcterms:W3CDTF">2017-02-11T20:49:00Z</dcterms:modified>
</cp:coreProperties>
</file>