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80F" w:rsidRPr="004905F2" w:rsidRDefault="0083080F" w:rsidP="004905F2">
      <w:pPr>
        <w:pStyle w:val="NormalWeb"/>
        <w:spacing w:line="360" w:lineRule="auto"/>
        <w:jc w:val="center"/>
        <w:rPr>
          <w:rFonts w:ascii="Arial" w:hAnsi="Arial" w:cs="Arial"/>
          <w:lang w:val="es-ES"/>
        </w:rPr>
      </w:pPr>
      <w:r w:rsidRPr="004905F2">
        <w:rPr>
          <w:rFonts w:ascii="Arial" w:hAnsi="Arial" w:cs="Arial"/>
          <w:lang w:val="es-ES"/>
        </w:rPr>
        <w:t>ESTRATEGIA DIGITAL NACIONAL</w:t>
      </w:r>
    </w:p>
    <w:p w:rsidR="0083080F" w:rsidRPr="004905F2" w:rsidRDefault="0083080F" w:rsidP="004905F2">
      <w:pPr>
        <w:pStyle w:val="NormalWeb"/>
        <w:spacing w:line="360" w:lineRule="auto"/>
        <w:rPr>
          <w:rFonts w:ascii="Arial" w:hAnsi="Arial" w:cs="Arial"/>
          <w:lang w:val="es-ES"/>
        </w:rPr>
      </w:pPr>
    </w:p>
    <w:p w:rsidR="0083080F" w:rsidRPr="004905F2" w:rsidRDefault="0083080F" w:rsidP="004905F2">
      <w:pPr>
        <w:pStyle w:val="NormalWeb"/>
        <w:spacing w:line="360" w:lineRule="auto"/>
        <w:rPr>
          <w:rFonts w:ascii="Arial" w:hAnsi="Arial" w:cs="Arial"/>
          <w:b/>
          <w:lang w:val="es-ES"/>
        </w:rPr>
      </w:pPr>
      <w:r w:rsidRPr="004905F2">
        <w:rPr>
          <w:rFonts w:ascii="Arial" w:hAnsi="Arial" w:cs="Arial"/>
          <w:b/>
          <w:lang w:val="es-ES"/>
        </w:rPr>
        <w:t>¿Qué es?</w:t>
      </w:r>
      <w:bookmarkStart w:id="0" w:name="_GoBack"/>
      <w:bookmarkEnd w:id="0"/>
    </w:p>
    <w:p w:rsidR="0083080F" w:rsidRPr="004905F2" w:rsidRDefault="0083080F" w:rsidP="004905F2">
      <w:pPr>
        <w:pStyle w:val="NormalWeb"/>
        <w:spacing w:line="360" w:lineRule="auto"/>
        <w:rPr>
          <w:rFonts w:ascii="Arial" w:hAnsi="Arial" w:cs="Arial"/>
          <w:color w:val="3E403E"/>
          <w:lang w:val="es-ES"/>
        </w:rPr>
      </w:pPr>
      <w:r w:rsidRPr="004905F2">
        <w:rPr>
          <w:rFonts w:ascii="Arial" w:hAnsi="Arial" w:cs="Arial"/>
          <w:b/>
          <w:lang w:val="es-ES"/>
        </w:rPr>
        <w:t xml:space="preserve">R.- </w:t>
      </w:r>
      <w:r w:rsidRPr="004905F2">
        <w:rPr>
          <w:rFonts w:ascii="Arial" w:hAnsi="Arial" w:cs="Arial"/>
          <w:color w:val="3E403E"/>
          <w:lang w:val="es-ES"/>
        </w:rPr>
        <w:t>La Estrategia Digital Nacional es un Plan de Acción que el gobierno está implementando para hacer un mejor uso de la tecnología y la innovación con el objetivo de alcanzar un mejor desarrollo digital en el país.</w:t>
      </w:r>
    </w:p>
    <w:p w:rsidR="0083080F" w:rsidRPr="004905F2" w:rsidRDefault="0083080F" w:rsidP="004905F2">
      <w:pPr>
        <w:pStyle w:val="NormalWeb"/>
        <w:spacing w:line="360" w:lineRule="auto"/>
        <w:rPr>
          <w:rFonts w:ascii="Arial" w:hAnsi="Arial" w:cs="Arial"/>
          <w:b/>
          <w:lang w:val="es-ES"/>
        </w:rPr>
      </w:pPr>
      <w:r w:rsidRPr="004905F2">
        <w:rPr>
          <w:rFonts w:ascii="Arial" w:hAnsi="Arial" w:cs="Arial"/>
          <w:b/>
          <w:lang w:val="es-ES"/>
        </w:rPr>
        <w:t>¿Cuáles son las principales metas?</w:t>
      </w:r>
    </w:p>
    <w:p w:rsidR="005C1056" w:rsidRPr="004905F2" w:rsidRDefault="005C1056" w:rsidP="004905F2">
      <w:pPr>
        <w:pStyle w:val="NormalWeb"/>
        <w:spacing w:line="360" w:lineRule="auto"/>
        <w:rPr>
          <w:rFonts w:ascii="Arial" w:hAnsi="Arial" w:cs="Arial"/>
          <w:b/>
          <w:lang w:val="es-ES"/>
        </w:rPr>
      </w:pPr>
      <w:r w:rsidRPr="004905F2">
        <w:rPr>
          <w:rFonts w:ascii="Arial" w:hAnsi="Arial" w:cs="Arial"/>
          <w:b/>
          <w:lang w:val="es-ES"/>
        </w:rPr>
        <w:t>R.-</w:t>
      </w:r>
      <w:r w:rsidRPr="004905F2">
        <w:rPr>
          <w:rFonts w:ascii="Arial" w:hAnsi="Arial" w:cs="Arial"/>
          <w:lang w:val="es-ES"/>
        </w:rPr>
        <w:t xml:space="preserve"> </w:t>
      </w:r>
      <w:r w:rsidRPr="004905F2">
        <w:rPr>
          <w:rFonts w:ascii="Arial" w:hAnsi="Arial" w:cs="Arial"/>
          <w:lang w:val="es-ES"/>
        </w:rPr>
        <w:t>El plan establece cinco objetivos básicos alrededor de los cuales gira todo el funcionamiento de la estrategia, cada uno de los cuales prevé distintos objetivos secundarios y líneas de acción para su aplicación:</w:t>
      </w:r>
    </w:p>
    <w:p w:rsidR="005C1056" w:rsidRPr="004905F2" w:rsidRDefault="005C1056" w:rsidP="004905F2">
      <w:pPr>
        <w:pStyle w:val="NormalWeb"/>
        <w:spacing w:line="360" w:lineRule="auto"/>
        <w:rPr>
          <w:rFonts w:ascii="Arial" w:hAnsi="Arial" w:cs="Arial"/>
          <w:lang w:val="es-ES"/>
        </w:rPr>
      </w:pPr>
      <w:r w:rsidRPr="004905F2">
        <w:rPr>
          <w:rFonts w:ascii="Arial" w:hAnsi="Arial" w:cs="Arial"/>
          <w:lang w:val="es-ES"/>
        </w:rPr>
        <w:t>1.</w:t>
      </w:r>
      <w:r w:rsidRPr="004905F2">
        <w:rPr>
          <w:rFonts w:ascii="Arial" w:hAnsi="Arial" w:cs="Arial"/>
          <w:lang w:val="es-ES"/>
        </w:rPr>
        <w:t xml:space="preserve"> </w:t>
      </w:r>
      <w:r w:rsidRPr="004905F2">
        <w:rPr>
          <w:rFonts w:ascii="Arial" w:hAnsi="Arial" w:cs="Arial"/>
          <w:lang w:val="es-ES"/>
        </w:rPr>
        <w:t>Transformación Gubernamental. Que establece la creación de una ventanilla única para realizar todos los trámites gubernamentales en línea.</w:t>
      </w:r>
    </w:p>
    <w:p w:rsidR="005C1056" w:rsidRPr="004905F2" w:rsidRDefault="005C1056" w:rsidP="004905F2">
      <w:pPr>
        <w:pStyle w:val="NormalWeb"/>
        <w:spacing w:line="360" w:lineRule="auto"/>
        <w:rPr>
          <w:rFonts w:ascii="Arial" w:hAnsi="Arial" w:cs="Arial"/>
          <w:lang w:val="es-ES"/>
        </w:rPr>
      </w:pPr>
      <w:r w:rsidRPr="004905F2">
        <w:rPr>
          <w:rFonts w:ascii="Arial" w:hAnsi="Arial" w:cs="Arial"/>
          <w:lang w:val="es-ES"/>
        </w:rPr>
        <w:t>2.</w:t>
      </w:r>
      <w:r w:rsidRPr="004905F2">
        <w:rPr>
          <w:rFonts w:ascii="Arial" w:hAnsi="Arial" w:cs="Arial"/>
          <w:lang w:val="es-ES"/>
        </w:rPr>
        <w:t xml:space="preserve"> </w:t>
      </w:r>
      <w:r w:rsidRPr="004905F2">
        <w:rPr>
          <w:rFonts w:ascii="Arial" w:hAnsi="Arial" w:cs="Arial"/>
          <w:lang w:val="es-ES"/>
        </w:rPr>
        <w:t>Economía Digital. Que busca promover la inclusión de los mercados digitales y la digitalización de empresas.</w:t>
      </w:r>
    </w:p>
    <w:p w:rsidR="005C1056" w:rsidRPr="004905F2" w:rsidRDefault="005C1056" w:rsidP="004905F2">
      <w:pPr>
        <w:pStyle w:val="NormalWeb"/>
        <w:spacing w:line="360" w:lineRule="auto"/>
        <w:rPr>
          <w:rFonts w:ascii="Arial" w:hAnsi="Arial" w:cs="Arial"/>
          <w:lang w:val="es-ES"/>
        </w:rPr>
      </w:pPr>
      <w:r w:rsidRPr="004905F2">
        <w:rPr>
          <w:rFonts w:ascii="Arial" w:hAnsi="Arial" w:cs="Arial"/>
          <w:lang w:val="es-ES"/>
        </w:rPr>
        <w:t>3.</w:t>
      </w:r>
      <w:r w:rsidRPr="004905F2">
        <w:rPr>
          <w:rFonts w:ascii="Arial" w:hAnsi="Arial" w:cs="Arial"/>
          <w:lang w:val="es-ES"/>
        </w:rPr>
        <w:t xml:space="preserve"> </w:t>
      </w:r>
      <w:r w:rsidRPr="004905F2">
        <w:rPr>
          <w:rFonts w:ascii="Arial" w:hAnsi="Arial" w:cs="Arial"/>
          <w:lang w:val="es-ES"/>
        </w:rPr>
        <w:t>Educación de Calidad. Establece el aumento de los medios tecnológicos en los centros de estudios y entre los profesores y estudiantes.</w:t>
      </w:r>
    </w:p>
    <w:p w:rsidR="005C1056" w:rsidRPr="004905F2" w:rsidRDefault="005C1056" w:rsidP="004905F2">
      <w:pPr>
        <w:pStyle w:val="NormalWeb"/>
        <w:spacing w:line="360" w:lineRule="auto"/>
        <w:rPr>
          <w:rFonts w:ascii="Arial" w:hAnsi="Arial" w:cs="Arial"/>
          <w:lang w:val="es-ES"/>
        </w:rPr>
      </w:pPr>
      <w:r w:rsidRPr="004905F2">
        <w:rPr>
          <w:rFonts w:ascii="Arial" w:hAnsi="Arial" w:cs="Arial"/>
          <w:lang w:val="es-ES"/>
        </w:rPr>
        <w:t>4.</w:t>
      </w:r>
      <w:r w:rsidRPr="004905F2">
        <w:rPr>
          <w:rFonts w:ascii="Arial" w:hAnsi="Arial" w:cs="Arial"/>
          <w:lang w:val="es-ES"/>
        </w:rPr>
        <w:t xml:space="preserve"> </w:t>
      </w:r>
      <w:r w:rsidRPr="004905F2">
        <w:rPr>
          <w:rFonts w:ascii="Arial" w:hAnsi="Arial" w:cs="Arial"/>
          <w:lang w:val="es-ES"/>
        </w:rPr>
        <w:t>Salud Universal y Efectiva. Establece la creación de un sistema digital sobre datos médicos y trámites ante las instituciones de salud pública.</w:t>
      </w:r>
    </w:p>
    <w:p w:rsidR="005C1056" w:rsidRPr="004905F2" w:rsidRDefault="005C1056" w:rsidP="004905F2">
      <w:pPr>
        <w:pStyle w:val="NormalWeb"/>
        <w:spacing w:line="360" w:lineRule="auto"/>
        <w:rPr>
          <w:rFonts w:ascii="Arial" w:hAnsi="Arial" w:cs="Arial"/>
          <w:lang w:val="es-ES"/>
        </w:rPr>
      </w:pPr>
      <w:r w:rsidRPr="004905F2">
        <w:rPr>
          <w:rFonts w:ascii="Arial" w:hAnsi="Arial" w:cs="Arial"/>
          <w:lang w:val="es-ES"/>
        </w:rPr>
        <w:t>5.</w:t>
      </w:r>
      <w:r w:rsidRPr="004905F2">
        <w:rPr>
          <w:rFonts w:ascii="Arial" w:hAnsi="Arial" w:cs="Arial"/>
          <w:lang w:val="es-ES"/>
        </w:rPr>
        <w:t xml:space="preserve"> </w:t>
      </w:r>
      <w:r w:rsidRPr="004905F2">
        <w:rPr>
          <w:rFonts w:ascii="Arial" w:hAnsi="Arial" w:cs="Arial"/>
          <w:lang w:val="es-ES"/>
        </w:rPr>
        <w:t>Seguridad Ciudadana. Propone el uso de las nuevas tecnologías en materias de seguridad pública y protección civil.</w:t>
      </w:r>
    </w:p>
    <w:p w:rsidR="0083080F" w:rsidRPr="004905F2" w:rsidRDefault="0083080F" w:rsidP="004905F2">
      <w:pPr>
        <w:pStyle w:val="NormalWeb"/>
        <w:spacing w:line="360" w:lineRule="auto"/>
        <w:rPr>
          <w:rFonts w:ascii="Arial" w:hAnsi="Arial" w:cs="Arial"/>
          <w:b/>
          <w:lang w:val="es-ES"/>
        </w:rPr>
      </w:pPr>
      <w:r w:rsidRPr="004905F2">
        <w:rPr>
          <w:rFonts w:ascii="Arial" w:hAnsi="Arial" w:cs="Arial"/>
          <w:b/>
          <w:lang w:val="es-ES"/>
        </w:rPr>
        <w:t>Evaluar su</w:t>
      </w:r>
      <w:r w:rsidRPr="004905F2">
        <w:rPr>
          <w:rFonts w:ascii="Arial" w:hAnsi="Arial" w:cs="Arial"/>
          <w:lang w:val="es-ES"/>
        </w:rPr>
        <w:t xml:space="preserve"> </w:t>
      </w:r>
      <w:r w:rsidRPr="004905F2">
        <w:rPr>
          <w:rFonts w:ascii="Arial" w:hAnsi="Arial" w:cs="Arial"/>
          <w:b/>
          <w:lang w:val="es-ES"/>
        </w:rPr>
        <w:t>desarrollo</w:t>
      </w:r>
    </w:p>
    <w:p w:rsidR="005C1056" w:rsidRPr="004905F2" w:rsidRDefault="005C1056" w:rsidP="004905F2">
      <w:pPr>
        <w:pStyle w:val="NormalWeb"/>
        <w:spacing w:line="360" w:lineRule="auto"/>
        <w:rPr>
          <w:rFonts w:ascii="Arial" w:hAnsi="Arial" w:cs="Arial"/>
          <w:b/>
          <w:lang w:val="es-ES"/>
        </w:rPr>
      </w:pPr>
      <w:r w:rsidRPr="004905F2">
        <w:rPr>
          <w:rFonts w:ascii="Arial" w:hAnsi="Arial" w:cs="Arial"/>
          <w:b/>
          <w:lang w:val="es-ES"/>
        </w:rPr>
        <w:t>R.-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6"/>
        <w:gridCol w:w="1732"/>
        <w:gridCol w:w="2412"/>
        <w:gridCol w:w="1546"/>
        <w:gridCol w:w="1602"/>
      </w:tblGrid>
      <w:tr w:rsidR="004905F2" w:rsidRPr="004905F2" w:rsidTr="004905F2">
        <w:trPr>
          <w:tblHeader/>
        </w:trPr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/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b/>
                <w:bCs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b/>
                <w:bCs/>
                <w:sz w:val="21"/>
                <w:szCs w:val="21"/>
              </w:rPr>
              <w:t>Objetivo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b/>
                <w:bCs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b/>
                <w:bCs/>
                <w:sz w:val="21"/>
                <w:szCs w:val="21"/>
              </w:rPr>
              <w:t>Indicador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b/>
                <w:bCs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b/>
                <w:bCs/>
                <w:sz w:val="21"/>
                <w:szCs w:val="21"/>
              </w:rPr>
              <w:t>Meta 2014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b/>
                <w:bCs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b/>
                <w:bCs/>
                <w:sz w:val="21"/>
                <w:szCs w:val="21"/>
              </w:rPr>
              <w:t>Meta 2018</w:t>
            </w:r>
          </w:p>
        </w:tc>
      </w:tr>
      <w:tr w:rsidR="004905F2" w:rsidRPr="004905F2" w:rsidTr="004905F2">
        <w:tc>
          <w:tcPr>
            <w:tcW w:w="0" w:type="auto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pStyle w:val="Heading3"/>
              <w:jc w:val="center"/>
              <w:rPr>
                <w:rFonts w:cs="Helvetica"/>
              </w:rPr>
            </w:pPr>
            <w:r w:rsidRPr="004905F2">
              <w:rPr>
                <w:rFonts w:cs="Helvetica"/>
              </w:rPr>
              <w:t>TRANSFORMACIÓN GUBERNAMENTAL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5" w:anchor="GobiernoAbierto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1. Generar y coordinar líneas de acción orientadas hacia el logro de un Gobierno Abierto.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Generar el mecanismo institucional para el cumplimiento de los compromisos del Plan de Acción de Gobierno Abierto.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Porcentaje de compromisos cumplidos del Plan de Acción correspondiente.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40 % del Plan de Acción 2013-2015. </w:t>
            </w:r>
            <w:hyperlink r:id="rId6" w:tgtFrame="_blank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www.pa2015.mx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100 % de los compromisos del Plan de Acción 2016-2018.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7" w:anchor="Ventanilla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2. Instrumentar la Ventanilla Única Nacional para trámites y servicios.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Generar el mecanismo institucional para implementar la Estrategia de Digitalización de Trámites y Servicios.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Porcentaje de trámites y servicios del Catálogo Nacional digitalizados de acuerdo al Índice de Gobierno Electrónico de Naciones Unidas. Estado de Digitalización (ED) 1: Informativo; ED 2: Formatos en línea; ED 3: Pago en línea; ED 4: Interoperable con resolución en línea. Disponibles a través del portal </w:t>
            </w:r>
            <w:hyperlink r:id="rId8" w:tgtFrame="_blank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www.gob.mx</w:t>
              </w:r>
            </w:hyperlink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100% de los Trámites y Servicios del catálogo en estado de digitalización 1. 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100% de los Trámites y Servicios del catálogo en estado de digitalización 2 y 3; 20% de los Trámites y Servicios del catálogo en estado de digitalización 4.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9" w:anchor="TICSustentable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3. Crear una política de TIC sustentable para la Administración Pública Federal.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Desarrollar, en conjunto con la Secretaría de la Función Pública y la Secretaría de Gobernación, las Políticas y Disposiciones para la Estrategia Digital Nacional en materia de TIC.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Publicada.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Publicada.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100% de las dependencias y entidades que son sujetas de la Política TIC implementándola.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10" w:anchor="GestionTerritorio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4. Instrumentar una política digital de gestión del territorio nacional.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Dar seguimiento al Desarrollo de la Política Digital de Gestión del Territorio por parte de la Secretaría de Desarrollo Agrario, Territorial y Urbano.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Publicada.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Publicada.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50% de la Política Digital de Gestión del Territorio implementada.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11" w:anchor="Datos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5. Usar datos para el desarrollo y el mejoramiento de políticas públicas.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Instrumentar el laboratorio de datos para análisis de políticas públicas basadas en evidencia en función de los principales proyectos transversales del Gobierno de la República.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Número de intervenciones para el uso de datos para el desarrollo de políticas públicas transversales del Gobierno de la República.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4 intervenciones (Prevención Social de la Violencia, Prevención de la mortalidad </w:t>
            </w:r>
            <w:proofErr w:type="gramStart"/>
            <w:r w:rsidRPr="004905F2">
              <w:rPr>
                <w:rFonts w:ascii="Varela Round" w:hAnsi="Varela Round" w:cs="Helvetica"/>
                <w:sz w:val="21"/>
                <w:szCs w:val="21"/>
              </w:rPr>
              <w:t>materno</w:t>
            </w:r>
            <w:proofErr w:type="gramEnd"/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 infantil, Atlas de Productividad Urbana, Cruzada Nacional contra el Hambre).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20 intervenciones.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12" w:anchor="Comunicacion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6. Adoptar una comunicación digital centrada en el ciudadano.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Contar con el portal único de comunicación del Gobierno de la República (www.gob.mx) funcionando, y con los sitios de comunicación de todas las dependencias y entidades de la Administración Pública Federal incorporados.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Número de dependencias y entidades incorporadas a www.gob.mx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18 dependencias y entidades de la </w:t>
            </w:r>
            <w:proofErr w:type="spellStart"/>
            <w:r w:rsidRPr="004905F2">
              <w:rPr>
                <w:rFonts w:ascii="Varela Round" w:hAnsi="Varela Round" w:cs="Helvetica"/>
                <w:sz w:val="21"/>
                <w:szCs w:val="21"/>
              </w:rPr>
              <w:t>Admistración</w:t>
            </w:r>
            <w:proofErr w:type="spellEnd"/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 Pública Federal incorporadas a www.gob.mx.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276 dependencias y entidades de la Administración Pública Federal incorporadas a gob.mx</w:t>
            </w:r>
          </w:p>
        </w:tc>
      </w:tr>
      <w:tr w:rsidR="004905F2" w:rsidRPr="004905F2" w:rsidTr="004905F2">
        <w:tc>
          <w:tcPr>
            <w:tcW w:w="0" w:type="auto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pStyle w:val="Heading3"/>
              <w:jc w:val="center"/>
              <w:rPr>
                <w:rFonts w:cs="Helvetica"/>
              </w:rPr>
            </w:pPr>
            <w:r w:rsidRPr="004905F2">
              <w:rPr>
                <w:rFonts w:cs="Helvetica"/>
              </w:rPr>
              <w:t>ECONOMÍA DIGITAL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13" w:anchor="BienesDigitales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7. Desarrollar el mercado de bienes y servicios digitales.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Fomentar el desarrollo de servicios digitales mediante el Programa para el Desarrollo de la Industria del Software (PROSOFT).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Número de empresas apoyadas por PROSOFT.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700 empresas apoyadas.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Empresas apoyadas.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14" w:anchor="ComercioElectronico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8. Potenciar el desarrollo del comercio electrónico.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Implementar la Estrategia para el Desarrollo del Comercio Electrónico en conjunto con el </w:t>
            </w:r>
            <w:r w:rsidRPr="004905F2">
              <w:rPr>
                <w:rFonts w:ascii="Varela Round" w:hAnsi="Varela Round" w:cs="Helvetica"/>
                <w:sz w:val="21"/>
                <w:szCs w:val="21"/>
              </w:rPr>
              <w:lastRenderedPageBreak/>
              <w:t>Instituto Nacional del Emprendedor y la Secretaría de Economía.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lastRenderedPageBreak/>
              <w:t>Porcentaje de usuarios de internet que han realizado compras en línea.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6.2% de los usuarios.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15% de los usuarios.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15" w:anchor="Democratizacion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9. Estimular la innovación de servicios digitales a través de la democratización del gasto público.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Implementar el sitio datos.gob.mx/retos como un espacio permanente para estimular la innovación y para que emprendedores mexicanos puedan resolver problemas públicos.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Número de Retos Públicos que concluyen con desarrollos tecnológicos exitosos.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5 Retos Públicos.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25 Retos Públicos.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16" w:anchor="BancaMovil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10. Asegurar la inclusión financiera mediante esquemas de banca móvil.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Desarrollar, en conjunto con la Secretaría de Hacienda y Crédito Público, la Estrategia de Inclusión Financiera que permita contar con esquemas de banca móvil económicos y accesibles para todos los usuarios de telefonía móvil.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Publicada.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Primer borrador.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Publicada, y 100% de la Estrategia de Inclusión Financiera implementada. </w:t>
            </w:r>
          </w:p>
        </w:tc>
      </w:tr>
      <w:tr w:rsidR="004905F2" w:rsidRPr="004905F2" w:rsidTr="004905F2">
        <w:tc>
          <w:tcPr>
            <w:tcW w:w="0" w:type="auto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pStyle w:val="Heading3"/>
              <w:jc w:val="center"/>
              <w:rPr>
                <w:rFonts w:cs="Helvetica"/>
              </w:rPr>
            </w:pPr>
            <w:r w:rsidRPr="004905F2">
              <w:rPr>
                <w:rFonts w:cs="Helvetica"/>
              </w:rPr>
              <w:t>EDUCACIÓN DE CALIDAD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17" w:anchor="SistemaEducativo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11. Desarrollar una política nacional de adopción y uso de las TIC en el proceso de enseñanza-aprendizaje del Sistema Educativo Nacional.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Incorporar a las TIC al proceso de enseñanza- aprendizaje mediante el desarrollo del ecosistema de habilidades digitales.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Publicada.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Primer borrador.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Publicada, y 100% de la Política Nacional implementada.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18" w:anchor="OfertaEducativa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12. Ampliar la Oferta Educativa a través de medios digitales.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Generar el mecanismo institucional para el desarrollo de la oferta educativa en línea.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Número de cursos en línea publicados y disponibles para su uso.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24 cursos en línea.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150 cursos en línea.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19" w:anchor="AgendaDigitalCultura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13. Desarrollar una Agenda Digital de Cultura.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Desarrollar una Agenda Digital de Cultura que permita utilizar a las TIC para incrementar el acceso a la cultura.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Publicada / No Publicada.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Publicada.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100% de la Agenda Digital de Cultura implementada.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20" w:anchor="GestionEducativa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14. Mejorar la Gestión Educativa por medio de las TIC.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Desarrollar un piloto para contar con herramientas digitales que faciliten la gestión educativa a nivel escuela, en las secretarías de educación estatales y en la Secretaría de Educación Pública.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Desarrollo del Piloto.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Desarrollado en su primera fase, 157 escuelas.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Herramientas digitales incorporadas a la Política Nacional de Incorporación de las TIC al proceso de Enseñanza- Aprendizaje.</w:t>
            </w:r>
          </w:p>
        </w:tc>
      </w:tr>
      <w:tr w:rsidR="004905F2" w:rsidRPr="004905F2" w:rsidTr="004905F2">
        <w:tc>
          <w:tcPr>
            <w:tcW w:w="0" w:type="auto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pStyle w:val="Heading3"/>
              <w:jc w:val="center"/>
              <w:rPr>
                <w:rFonts w:cs="Helvetica"/>
              </w:rPr>
            </w:pPr>
            <w:r w:rsidRPr="004905F2">
              <w:rPr>
                <w:rFonts w:cs="Helvetica"/>
              </w:rPr>
              <w:t>SALUD UNIVERSAL Y EFECTIVA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21" w:anchor="ServiciosSalud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15. Impulsar un modelo de gobierno de información en salud que apoye la convergencia de los sistemas de información en salud.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Unificar la información de los usuarios del sistema de salud para mejorar la calidad de los servicios.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Número de guías y formatos de intercambio de información en </w:t>
            </w:r>
            <w:proofErr w:type="gramStart"/>
            <w:r w:rsidRPr="004905F2">
              <w:rPr>
                <w:rFonts w:ascii="Varela Round" w:hAnsi="Varela Round" w:cs="Helvetica"/>
                <w:sz w:val="21"/>
                <w:szCs w:val="21"/>
              </w:rPr>
              <w:t>salud publicadas</w:t>
            </w:r>
            <w:proofErr w:type="gramEnd"/>
            <w:r w:rsidRPr="004905F2">
              <w:rPr>
                <w:rFonts w:ascii="Varela Round" w:hAnsi="Varela Round" w:cs="Helvetica"/>
                <w:sz w:val="21"/>
                <w:szCs w:val="21"/>
              </w:rPr>
              <w:t>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3 guías y formatos de intercambio de información en </w:t>
            </w:r>
            <w:proofErr w:type="gramStart"/>
            <w:r w:rsidRPr="004905F2">
              <w:rPr>
                <w:rFonts w:ascii="Varela Round" w:hAnsi="Varela Round" w:cs="Helvetica"/>
                <w:sz w:val="21"/>
                <w:szCs w:val="21"/>
              </w:rPr>
              <w:t>salud publicadas</w:t>
            </w:r>
            <w:proofErr w:type="gramEnd"/>
            <w:r w:rsidRPr="004905F2">
              <w:rPr>
                <w:rFonts w:ascii="Varela Round" w:hAnsi="Varela Round" w:cs="Helvetica"/>
                <w:sz w:val="21"/>
                <w:szCs w:val="21"/>
              </w:rPr>
              <w:t>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12 guías y formatos de intercambio de </w:t>
            </w:r>
            <w:proofErr w:type="gramStart"/>
            <w:r w:rsidRPr="004905F2">
              <w:rPr>
                <w:rFonts w:ascii="Varela Round" w:hAnsi="Varela Round" w:cs="Helvetica"/>
                <w:sz w:val="21"/>
                <w:szCs w:val="21"/>
              </w:rPr>
              <w:t>la información publicadas e implementadas</w:t>
            </w:r>
            <w:proofErr w:type="gramEnd"/>
            <w:r w:rsidRPr="004905F2">
              <w:rPr>
                <w:rFonts w:ascii="Varela Round" w:hAnsi="Varela Round" w:cs="Helvetica"/>
                <w:sz w:val="21"/>
                <w:szCs w:val="21"/>
              </w:rPr>
              <w:t>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22" w:anchor="PersonalidadUnica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 xml:space="preserve">16a. Consolidar el Sistema Nacional de Información Básica en Materia de Salud con la finalidad de establecer la personalidad única en salud y </w:t>
              </w:r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lastRenderedPageBreak/>
                <w:t>fomente el uso eficiente de la capacidad instalada.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lastRenderedPageBreak/>
              <w:t>Consolidar la información demográfica de la población afiliada en el Padrón General de Salud para así establecer la personalidad Única en Salud.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Porcentaje de la población afiliada vigente cargada al Padrón General de Salud con información demográfica completa.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35% de la población afiliada vigente en el Padrón General de Salud con información demográfica completa.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70% de la población afiliada vigente en el Padrón General de Salud con información demográfica completa.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23" w:anchor="PersonalidadUnicaB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16b. Consolidar el Sistema Nacional de Información Básica en Materia de Salud con la finalidad de establecer la personalidad única en salud y fomente el uso eficiente de la capacidad instalada.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Consolidar la información demográfica de los profesionales de la salud en el Padrón General de Salud para así establecer la personalidad Única en Salud.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Porcentaje de la profesionales de la salud cargados al Padrón General de Salud.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40% de profesionales de la salud cargados al Padrón General de Salud.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80% de profesionales de la salud cargados al Padrón General de Salud.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24" w:anchor="CertificadoElectronico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17. Impulsar la digitalización de los servicios de salud por medio del Certificado Electrónico de Nacimiento (</w:t>
              </w:r>
              <w:proofErr w:type="spellStart"/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CeN</w:t>
              </w:r>
              <w:proofErr w:type="spellEnd"/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) y la Cartilla Electrónica de Vacunación (</w:t>
              </w:r>
              <w:proofErr w:type="spellStart"/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CeV</w:t>
              </w:r>
              <w:proofErr w:type="spellEnd"/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) que apoye la mejora del modelo de atención médica.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Implementar el Certificado Electrónico de Nacimiento y la Cartilla Electrónica de Vacunación.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Porcentaje de Certificados de Nacimiento que se generan de forma electrónica. Porcentaje de Cartillas Electrónicas de Vacunación que se generan de forma electrónica.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5% de certificados. % de cartillas.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60% de certificados. 60% de cartillas.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25" w:anchor="RegistroElectronicoSalud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 xml:space="preserve">18. Impulsar el intercambio de información de los Sistemas de Información de Registro Electrónico para la Salud, entre los que se encuentran los Expedientes Clínicos Electrónicos, para apoyar la </w:t>
              </w:r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lastRenderedPageBreak/>
                <w:t>convergencia de los sistemas de información en salud.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lastRenderedPageBreak/>
              <w:t>Implementar el Expediente Clínico Electrónico como sistema de Registro Electrónico para la Salud.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Porcentaje de las Unidades Médicas con Expediente Clínico Electrónico implementado.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10% de Unidades Médicas.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40% de Unidades Médicas.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26" w:anchor="SistemasInformacion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 xml:space="preserve">19. Impulsar mecanismos de </w:t>
              </w:r>
              <w:proofErr w:type="spellStart"/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Telesalud</w:t>
              </w:r>
              <w:proofErr w:type="spellEnd"/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 xml:space="preserve"> y Telemedicina para aumentar la cobertura de los servicios de salud.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Mejorar la calidad de los servicios de salud y facilitar la atención médica a través del desarrollo de técnicas de </w:t>
            </w:r>
            <w:proofErr w:type="spellStart"/>
            <w:r w:rsidRPr="004905F2">
              <w:rPr>
                <w:rFonts w:ascii="Varela Round" w:hAnsi="Varela Round" w:cs="Helvetica"/>
                <w:sz w:val="21"/>
                <w:szCs w:val="21"/>
              </w:rPr>
              <w:t>telesalud</w:t>
            </w:r>
            <w:proofErr w:type="spellEnd"/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 y telemedicina.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Número de Unidades Médicas que cuentan con servicios de </w:t>
            </w:r>
            <w:proofErr w:type="spellStart"/>
            <w:r w:rsidRPr="004905F2">
              <w:rPr>
                <w:rFonts w:ascii="Varela Round" w:hAnsi="Varela Round" w:cs="Helvetica"/>
                <w:sz w:val="21"/>
                <w:szCs w:val="21"/>
              </w:rPr>
              <w:t>telesalud</w:t>
            </w:r>
            <w:proofErr w:type="spellEnd"/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 y telemedicina.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800 unidades médicas.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2500 unidades médicas.</w:t>
            </w:r>
          </w:p>
        </w:tc>
      </w:tr>
      <w:tr w:rsidR="004905F2" w:rsidRPr="004905F2" w:rsidTr="004905F2">
        <w:tc>
          <w:tcPr>
            <w:tcW w:w="0" w:type="auto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pStyle w:val="Heading3"/>
              <w:jc w:val="center"/>
              <w:rPr>
                <w:rFonts w:cs="Helvetica"/>
              </w:rPr>
            </w:pPr>
            <w:r w:rsidRPr="004905F2">
              <w:rPr>
                <w:rFonts w:cs="Helvetica"/>
              </w:rPr>
              <w:t>SEGURIDAD CIUDADANA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27" w:anchor="AplicacionesDenuncia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20. Aplicaciones de denuncia ciudadana en múltiples plataformas.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Desarrollar herramientas y aplicaciones de denuncia ciudadana por medios digitales, a través de dispositivos móviles.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Número de aplicaciones desarrolladas y disponibles en datos.gob.mx/aplicaciones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2 aplicaciones desarrolladas.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20 aplicaciones desarrolladas.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28" w:anchor="InstrumentosDigitales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21. Desarrollar instrumentos digitales para la prevención social de la violencia.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Tener definida una plataforma de análisis en tiempo real/tiempo correcto para todo el programa, así como los indicadores que lo comprenden.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Desarrollo de la Plataforma.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Contar con una prueba de concepto de la plataforma.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>Plataforma desarrollada.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29" w:anchor="InnovaciónCivica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>22. Impulsar la innovación cívica por medio de las TIC.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Desarrollar el Proyecto de Agentes de Innovación Nacional como un mecanismo para </w:t>
            </w:r>
            <w:proofErr w:type="spellStart"/>
            <w:r w:rsidRPr="004905F2">
              <w:rPr>
                <w:rFonts w:ascii="Varela Round" w:hAnsi="Varela Round" w:cs="Helvetica"/>
                <w:sz w:val="21"/>
                <w:szCs w:val="21"/>
              </w:rPr>
              <w:t>co</w:t>
            </w:r>
            <w:proofErr w:type="spellEnd"/>
            <w:r w:rsidRPr="004905F2">
              <w:rPr>
                <w:rFonts w:ascii="Varela Round" w:hAnsi="Varela Round" w:cs="Helvetica"/>
                <w:sz w:val="21"/>
                <w:szCs w:val="21"/>
              </w:rPr>
              <w:t>-creación de soluciones a problemas públicos.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Número de proyectos de </w:t>
            </w:r>
            <w:proofErr w:type="spellStart"/>
            <w:r w:rsidRPr="004905F2">
              <w:rPr>
                <w:rFonts w:ascii="Varela Round" w:hAnsi="Varela Round" w:cs="Helvetica"/>
                <w:sz w:val="21"/>
                <w:szCs w:val="21"/>
              </w:rPr>
              <w:t>co</w:t>
            </w:r>
            <w:proofErr w:type="spellEnd"/>
            <w:r w:rsidRPr="004905F2">
              <w:rPr>
                <w:rFonts w:ascii="Varela Round" w:hAnsi="Varela Round" w:cs="Helvetica"/>
                <w:sz w:val="21"/>
                <w:szCs w:val="21"/>
              </w:rPr>
              <w:t>-creación de soluciones.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5 proyectos de </w:t>
            </w:r>
            <w:proofErr w:type="spellStart"/>
            <w:r w:rsidRPr="004905F2">
              <w:rPr>
                <w:rFonts w:ascii="Varela Round" w:hAnsi="Varela Round" w:cs="Helvetica"/>
                <w:sz w:val="21"/>
                <w:szCs w:val="21"/>
              </w:rPr>
              <w:t>co</w:t>
            </w:r>
            <w:proofErr w:type="spellEnd"/>
            <w:r w:rsidRPr="004905F2">
              <w:rPr>
                <w:rFonts w:ascii="Varela Round" w:hAnsi="Varela Round" w:cs="Helvetica"/>
                <w:sz w:val="21"/>
                <w:szCs w:val="21"/>
              </w:rPr>
              <w:t>-creación con agentes de innovación de acuerdo a los ejes de la EDN.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20 proyectos de </w:t>
            </w:r>
            <w:proofErr w:type="spellStart"/>
            <w:r w:rsidRPr="004905F2">
              <w:rPr>
                <w:rFonts w:ascii="Varela Round" w:hAnsi="Varela Round" w:cs="Helvetica"/>
                <w:sz w:val="21"/>
                <w:szCs w:val="21"/>
              </w:rPr>
              <w:t>co</w:t>
            </w:r>
            <w:proofErr w:type="spellEnd"/>
            <w:r w:rsidRPr="004905F2">
              <w:rPr>
                <w:rFonts w:ascii="Varela Round" w:hAnsi="Varela Round" w:cs="Helvetica"/>
                <w:sz w:val="21"/>
                <w:szCs w:val="21"/>
              </w:rPr>
              <w:t>-creación con agentes de innovación con las dependencias y entidades del gabinete ampliado.</w:t>
            </w:r>
          </w:p>
        </w:tc>
      </w:tr>
      <w:tr w:rsidR="004905F2" w:rsidRPr="004905F2" w:rsidTr="004905F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hyperlink r:id="rId30" w:anchor="DesastresNaturales" w:history="1"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t xml:space="preserve">23. Prevenir y mitigar los daños causados por desastres </w:t>
              </w:r>
              <w:r w:rsidRPr="004905F2">
                <w:rPr>
                  <w:rStyle w:val="Hyperlink"/>
                  <w:rFonts w:ascii="Varela Round" w:hAnsi="Varela Round" w:cs="Helvetica"/>
                  <w:color w:val="auto"/>
                  <w:sz w:val="21"/>
                  <w:szCs w:val="21"/>
                </w:rPr>
                <w:lastRenderedPageBreak/>
                <w:t>naturales mediante el uso de las TIC.</w:t>
              </w:r>
            </w:hyperlink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lastRenderedPageBreak/>
              <w:t xml:space="preserve">Contar con una plataforma que integre la información de todo </w:t>
            </w:r>
            <w:r w:rsidRPr="004905F2">
              <w:rPr>
                <w:rFonts w:ascii="Varela Round" w:hAnsi="Varela Round" w:cs="Helvetica"/>
                <w:sz w:val="21"/>
                <w:szCs w:val="21"/>
              </w:rPr>
              <w:lastRenderedPageBreak/>
              <w:t>el país sobre los recursos del FONDEN, que incluya un Atlas de riesgo y acciones de prevención.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lastRenderedPageBreak/>
              <w:t>Plataforma desarrollada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t xml:space="preserve">Contar con una prueba de concepto de la plataforma con </w:t>
            </w:r>
            <w:r w:rsidRPr="004905F2">
              <w:rPr>
                <w:rFonts w:ascii="Varela Round" w:hAnsi="Varela Round" w:cs="Helvetica"/>
                <w:sz w:val="21"/>
                <w:szCs w:val="21"/>
              </w:rPr>
              <w:lastRenderedPageBreak/>
              <w:t>información asociada a una en una Entidad Federativa.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C1056" w:rsidRPr="004905F2" w:rsidRDefault="005C1056">
            <w:pPr>
              <w:rPr>
                <w:rFonts w:ascii="Varela Round" w:hAnsi="Varela Round" w:cs="Helvetica"/>
                <w:sz w:val="21"/>
                <w:szCs w:val="21"/>
              </w:rPr>
            </w:pPr>
            <w:r w:rsidRPr="004905F2">
              <w:rPr>
                <w:rFonts w:ascii="Varela Round" w:hAnsi="Varela Round" w:cs="Helvetica"/>
                <w:sz w:val="21"/>
                <w:szCs w:val="21"/>
              </w:rPr>
              <w:lastRenderedPageBreak/>
              <w:t xml:space="preserve">Plataforma desarrollada con información </w:t>
            </w:r>
            <w:r w:rsidRPr="004905F2">
              <w:rPr>
                <w:rFonts w:ascii="Varela Round" w:hAnsi="Varela Round" w:cs="Helvetica"/>
                <w:sz w:val="21"/>
                <w:szCs w:val="21"/>
              </w:rPr>
              <w:lastRenderedPageBreak/>
              <w:t>aplicable a todo el territorio nacional.</w:t>
            </w:r>
          </w:p>
        </w:tc>
      </w:tr>
    </w:tbl>
    <w:p w:rsidR="005C1056" w:rsidRPr="004905F2" w:rsidRDefault="005C1056" w:rsidP="005C1056">
      <w:pPr>
        <w:pStyle w:val="NormalWeb"/>
      </w:pPr>
    </w:p>
    <w:p w:rsidR="005C1056" w:rsidRDefault="005C1056"/>
    <w:sectPr w:rsidR="005C10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arela Round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8A271F"/>
    <w:multiLevelType w:val="multilevel"/>
    <w:tmpl w:val="03DAF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33D3CBE"/>
    <w:multiLevelType w:val="multilevel"/>
    <w:tmpl w:val="F3220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80F"/>
    <w:rsid w:val="004905F2"/>
    <w:rsid w:val="005C1056"/>
    <w:rsid w:val="0083080F"/>
    <w:rsid w:val="00AB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2540BD-80A2-4FEE-87BA-029C19E87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C1056"/>
    <w:pPr>
      <w:spacing w:before="300" w:after="150" w:line="240" w:lineRule="auto"/>
      <w:outlineLvl w:val="2"/>
    </w:pPr>
    <w:rPr>
      <w:rFonts w:ascii="inherit" w:eastAsia="Times New Roman" w:hAnsi="inherit" w:cs="Times New Roman"/>
      <w:sz w:val="36"/>
      <w:szCs w:val="36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30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yperlink">
    <w:name w:val="Hyperlink"/>
    <w:basedOn w:val="DefaultParagraphFont"/>
    <w:uiPriority w:val="99"/>
    <w:semiHidden/>
    <w:unhideWhenUsed/>
    <w:rsid w:val="0083080F"/>
    <w:rPr>
      <w:strike w:val="0"/>
      <w:dstrike w:val="0"/>
      <w:color w:val="111111"/>
      <w:u w:val="none"/>
      <w:effect w:val="none"/>
    </w:rPr>
  </w:style>
  <w:style w:type="character" w:customStyle="1" w:styleId="corchete-llamada1">
    <w:name w:val="corchete-llamada1"/>
    <w:basedOn w:val="DefaultParagraphFont"/>
    <w:rsid w:val="0083080F"/>
    <w:rPr>
      <w:vanish/>
      <w:webHidden w:val="0"/>
      <w:specVanish w:val="0"/>
    </w:rPr>
  </w:style>
  <w:style w:type="character" w:customStyle="1" w:styleId="Heading3Char">
    <w:name w:val="Heading 3 Char"/>
    <w:basedOn w:val="DefaultParagraphFont"/>
    <w:link w:val="Heading3"/>
    <w:uiPriority w:val="9"/>
    <w:rsid w:val="005C1056"/>
    <w:rPr>
      <w:rFonts w:ascii="inherit" w:eastAsia="Times New Roman" w:hAnsi="inherit" w:cs="Times New Roman"/>
      <w:sz w:val="36"/>
      <w:szCs w:val="36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210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9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8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4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1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8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45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20741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9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8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2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21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2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4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84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20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68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5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5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76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56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b.mx/" TargetMode="External"/><Relationship Id="rId13" Type="http://schemas.openxmlformats.org/officeDocument/2006/relationships/hyperlink" Target="http://www.presidencia.gob.mx/edn/indicadores/" TargetMode="External"/><Relationship Id="rId18" Type="http://schemas.openxmlformats.org/officeDocument/2006/relationships/hyperlink" Target="http://www.presidencia.gob.mx/edn/indicadores/" TargetMode="External"/><Relationship Id="rId26" Type="http://schemas.openxmlformats.org/officeDocument/2006/relationships/hyperlink" Target="http://www.presidencia.gob.mx/edn/indicadore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presidencia.gob.mx/edn/indicadores/" TargetMode="External"/><Relationship Id="rId7" Type="http://schemas.openxmlformats.org/officeDocument/2006/relationships/hyperlink" Target="http://www.presidencia.gob.mx/edn/indicadores/" TargetMode="External"/><Relationship Id="rId12" Type="http://schemas.openxmlformats.org/officeDocument/2006/relationships/hyperlink" Target="http://www.presidencia.gob.mx/edn/indicadores/" TargetMode="External"/><Relationship Id="rId17" Type="http://schemas.openxmlformats.org/officeDocument/2006/relationships/hyperlink" Target="http://www.presidencia.gob.mx/edn/indicadores/" TargetMode="External"/><Relationship Id="rId25" Type="http://schemas.openxmlformats.org/officeDocument/2006/relationships/hyperlink" Target="http://www.presidencia.gob.mx/edn/indicadores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residencia.gob.mx/edn/indicadores/" TargetMode="External"/><Relationship Id="rId20" Type="http://schemas.openxmlformats.org/officeDocument/2006/relationships/hyperlink" Target="http://www.presidencia.gob.mx/edn/indicadores/" TargetMode="External"/><Relationship Id="rId29" Type="http://schemas.openxmlformats.org/officeDocument/2006/relationships/hyperlink" Target="http://www.presidencia.gob.mx/edn/indicadores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pa2015.mx/" TargetMode="External"/><Relationship Id="rId11" Type="http://schemas.openxmlformats.org/officeDocument/2006/relationships/hyperlink" Target="http://www.presidencia.gob.mx/edn/indicadores/" TargetMode="External"/><Relationship Id="rId24" Type="http://schemas.openxmlformats.org/officeDocument/2006/relationships/hyperlink" Target="http://www.presidencia.gob.mx/edn/indicadores/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www.presidencia.gob.mx/edn/indicadores/" TargetMode="External"/><Relationship Id="rId15" Type="http://schemas.openxmlformats.org/officeDocument/2006/relationships/hyperlink" Target="http://www.presidencia.gob.mx/edn/indicadores/" TargetMode="External"/><Relationship Id="rId23" Type="http://schemas.openxmlformats.org/officeDocument/2006/relationships/hyperlink" Target="http://www.presidencia.gob.mx/edn/indicadores/" TargetMode="External"/><Relationship Id="rId28" Type="http://schemas.openxmlformats.org/officeDocument/2006/relationships/hyperlink" Target="http://www.presidencia.gob.mx/edn/indicadores/" TargetMode="External"/><Relationship Id="rId10" Type="http://schemas.openxmlformats.org/officeDocument/2006/relationships/hyperlink" Target="http://www.presidencia.gob.mx/edn/indicadores/" TargetMode="External"/><Relationship Id="rId19" Type="http://schemas.openxmlformats.org/officeDocument/2006/relationships/hyperlink" Target="http://www.presidencia.gob.mx/edn/indicadores/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residencia.gob.mx/edn/indicadores/" TargetMode="External"/><Relationship Id="rId14" Type="http://schemas.openxmlformats.org/officeDocument/2006/relationships/hyperlink" Target="http://www.presidencia.gob.mx/edn/indicadores/" TargetMode="External"/><Relationship Id="rId22" Type="http://schemas.openxmlformats.org/officeDocument/2006/relationships/hyperlink" Target="http://www.presidencia.gob.mx/edn/indicadores/" TargetMode="External"/><Relationship Id="rId27" Type="http://schemas.openxmlformats.org/officeDocument/2006/relationships/hyperlink" Target="http://www.presidencia.gob.mx/edn/indicadores/" TargetMode="External"/><Relationship Id="rId30" Type="http://schemas.openxmlformats.org/officeDocument/2006/relationships/hyperlink" Target="http://www.presidencia.gob.mx/edn/indicador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2109</Words>
  <Characters>11600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13682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 Martinez Karla</dc:creator>
  <cp:keywords/>
  <dc:description/>
  <cp:lastModifiedBy>Calderon Martinez Karla</cp:lastModifiedBy>
  <cp:revision>1</cp:revision>
  <dcterms:created xsi:type="dcterms:W3CDTF">2015-04-29T21:06:00Z</dcterms:created>
  <dcterms:modified xsi:type="dcterms:W3CDTF">2015-04-29T21:35:00Z</dcterms:modified>
</cp:coreProperties>
</file>