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Rocío Téllez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1.- Antecedentes de la Estrategia Digital Nacional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México ocupa un lugar bajo en cuanto a conectividad y digitalización, en América Latina ocupa el </w:t>
      </w:r>
      <w:r>
        <w:rPr>
          <w:rFonts w:ascii="나눔고딕" w:eastAsia="나눔고딕" w:hAnsi="나눔고딕" w:hint="default"/>
        </w:rPr>
        <w:t xml:space="preserve">quinto lugar en las mismas materias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Alejandra Lagunes quedó como encargada de dicha iniciativa como coordinadora del Programa </w:t>
      </w:r>
      <w:r>
        <w:rPr>
          <w:rFonts w:ascii="나눔고딕" w:eastAsia="나눔고딕" w:hAnsi="나눔고딕" w:hint="default"/>
        </w:rPr>
        <w:t xml:space="preserve">de Gobierno Digital y en el 2013 presentó los ejes rectores del proyecto.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La estrategia fue presentada oficialmente por Enrique Peña Nieto y Alejandra Lagunes el 25 de </w:t>
      </w:r>
      <w:r>
        <w:rPr>
          <w:rFonts w:ascii="나눔고딕" w:eastAsia="나눔고딕" w:hAnsi="나눔고딕" w:hint="default"/>
        </w:rPr>
        <w:t xml:space="preserve">noviembre de 2013 en el Museo Nacional de Antropología.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2.- Qué es la EDN?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 Es un Plan del gobierno federal de México, creado por la presidencia de México como política </w:t>
      </w:r>
      <w:r>
        <w:rPr>
          <w:rFonts w:ascii="나눔고딕" w:eastAsia="나눔고딕" w:hAnsi="나눔고딕" w:hint="default"/>
        </w:rPr>
        <w:t xml:space="preserve">oficial, tiene como objetivo la adopción y el desarrollo de las Tecnologías de la Información y la </w:t>
      </w:r>
      <w:r>
        <w:rPr>
          <w:rFonts w:ascii="나눔고딕" w:eastAsia="나눔고딕" w:hAnsi="나눔고딕" w:hint="default"/>
        </w:rPr>
        <w:t>Comunicación.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3.- Se podrán alcanzar los principales objetivos planteados?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Considero que los objetivos planteados de la EDN pueden ser logrados, ya que actualmente se </w:t>
      </w:r>
      <w:r>
        <w:rPr>
          <w:rFonts w:ascii="나눔고딕" w:eastAsia="나눔고딕" w:hAnsi="나눔고딕" w:hint="default"/>
        </w:rPr>
        <w:t xml:space="preserve">está buscando invertir en el uso de las nuevas tecnologías.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El plan estabece cinco objetivos básicos y se mencionarán únicamente los que se consideran mas </w:t>
      </w:r>
      <w:r>
        <w:rPr>
          <w:rFonts w:ascii="나눔고딕" w:eastAsia="나눔고딕" w:hAnsi="나눔고딕" w:hint="default"/>
        </w:rPr>
        <w:t xml:space="preserve">prontos a desarrollar.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Transformación Gubernamental. Que establece la creación de una ventanilla única para realizar </w:t>
      </w:r>
      <w:r>
        <w:rPr>
          <w:rFonts w:ascii="나눔고딕" w:eastAsia="나눔고딕" w:hAnsi="나눔고딕" w:hint="default"/>
        </w:rPr>
        <w:t xml:space="preserve">todos los trámites gubernamentales en línea.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Este es un objetivo que se puede lograr facilmente y que actualmente ya esta pensado, por </w:t>
      </w:r>
      <w:r>
        <w:rPr>
          <w:rFonts w:ascii="나눔고딕" w:eastAsia="나눔고딕" w:hAnsi="나눔고딕" w:hint="default"/>
        </w:rPr>
        <w:t xml:space="preserve">ejemplo, en el INE ya cuentan con casillas electronicas las cuales facilitan la acción y el conteo de </w:t>
      </w:r>
      <w:r>
        <w:rPr>
          <w:rFonts w:ascii="나눔고딕" w:eastAsia="나눔고딕" w:hAnsi="나눔고딕" w:hint="default"/>
        </w:rPr>
        <w:t>votos.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Educación de Calidad. Establece el aumento de los medios tecnológicos en los centros de estudios </w:t>
      </w:r>
      <w:r>
        <w:rPr>
          <w:rFonts w:ascii="나눔고딕" w:eastAsia="나눔고딕" w:hAnsi="나눔고딕" w:hint="default"/>
        </w:rPr>
        <w:t xml:space="preserve">y entre los profesores y estudiantes.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Esta acción ha sido una de las propuestas que se ha puesto en marcha desde ya hace unos años </w:t>
      </w:r>
      <w:r>
        <w:rPr>
          <w:rFonts w:ascii="나눔고딕" w:eastAsia="나눔고딕" w:hAnsi="나눔고딕" w:hint="default"/>
        </w:rPr>
        <w:t>atrás.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4.- Proponer política pública que se desprenda de la EDN que no esté considerada.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Uno de los mayores retos considerados es brindar a la mayoría de los mexicanos dispositivos con </w:t>
      </w:r>
      <w:r>
        <w:rPr>
          <w:rFonts w:ascii="나눔고딕" w:eastAsia="나눔고딕" w:hAnsi="나눔고딕" w:hint="default"/>
        </w:rPr>
        <w:t xml:space="preserve">acceso a Internet, ya que sería prácticamente imposible brindar dispositivos a todos, sin embargo </w:t>
      </w:r>
      <w:r>
        <w:rPr>
          <w:rFonts w:ascii="나눔고딕" w:eastAsia="나눔고딕" w:hAnsi="나눔고딕" w:hint="default"/>
        </w:rPr>
        <w:t xml:space="preserve">debería de existir una educación desde una temprana edad para el uso de Tecnologías. 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De esta forma los mexicanos tendrían conocimientos suficientes para poder ser usuarios y </w:t>
      </w:r>
      <w:r>
        <w:rPr>
          <w:rFonts w:ascii="나눔고딕" w:eastAsia="나눔고딕" w:hAnsi="나눔고딕" w:hint="default"/>
        </w:rPr>
        <w:t xml:space="preserve">podrían utilizar este tipo de tecnologías para un mejor estilo de vida.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Por ejemplo , artesanos podrían promocionar su mercancia por Internet.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Esta es una simple propuesta, pero con el paso del tiempo el estilo de vida de los mexicanos </w:t>
      </w:r>
      <w:r>
        <w:rPr>
          <w:rFonts w:ascii="나눔고딕" w:eastAsia="나눔고딕" w:hAnsi="나눔고딕" w:hint="default"/>
        </w:rPr>
        <w:t xml:space="preserve">podría ser mejor, pero la base de todo esto está infudablemente en la educación.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5.- Con respecto a la información relativa de jóvenes, es suficiente o insuficiente. Permite diseñar </w:t>
      </w:r>
      <w:r>
        <w:rPr>
          <w:rFonts w:ascii="나눔고딕" w:eastAsia="나눔고딕" w:hAnsi="나눔고딕" w:hint="default"/>
        </w:rPr>
        <w:t xml:space="preserve">políticas públicas para jóvenes.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Considero que la información es basta, debido a que los estudios realizados están bastante </w:t>
      </w:r>
      <w:r>
        <w:rPr>
          <w:rFonts w:ascii="나눔고딕" w:eastAsia="나눔고딕" w:hAnsi="나눔고딕" w:hint="default"/>
        </w:rPr>
        <w:t xml:space="preserve">comoletos, mostrando los resultados en distintos apartados como: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- Zona geográfica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-Nivel socioeconómico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También muestran información suficiente sovre los usuarios y los no usuarios.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Así como el medio y el lugar en el que suelen acceder a Internet.</w:t>
      </w:r>
    </w:p>
    <w:p>
      <w:pPr>
        <w:numPr>
          <w:ilvl w:val="0"/>
          <w:numId w:val="0"/>
        </w:numPr>
        <w:jc w:val="both"/>
        <w:spacing w:lineRule="auto" w:line="240" w:after="0"/>
        <w:ind w:left="0" w:hanging="0"/>
        <w:rPr>
          <w:rFonts w:ascii="나눔고딕" w:eastAsia="나눔고딕" w:hAnsi="나눔고딕" w:hint="default"/>
        </w:rPr>
        <w:wordWrap w:val="off"/>
      </w:pPr>
      <w:r>
        <w:rPr>
          <w:rFonts w:ascii="나눔고딕" w:eastAsia="나눔고딕" w:hAnsi="나눔고딕" w:hint="default"/>
        </w:rPr>
        <w:t xml:space="preserve">En la actualidad la tecnología es la base de muchos empleos, negocios y del conocimiento, por lo </w:t>
      </w:r>
      <w:r>
        <w:rPr>
          <w:rFonts w:ascii="나눔고딕" w:eastAsia="나눔고딕" w:hAnsi="나눔고딕" w:hint="default"/>
        </w:rPr>
        <w:t xml:space="preserve">tanto es factible la creación de nuevas políticas públicas en las que se impulse y se promueva el </w:t>
      </w:r>
      <w:r>
        <w:rPr>
          <w:rFonts w:ascii="나눔고딕" w:eastAsia="나눔고딕" w:hAnsi="나눔고딕" w:hint="default"/>
        </w:rPr>
        <w:t xml:space="preserve">uso de las Tecnologías.</w:t>
      </w:r>
    </w:p>
    <w:sectPr>
      <w:pgSz w:w="11906" w:h="16838"/>
      <w:pgMar w:top="1701" w:right="1440" w:bottom="1440" w:left="1440" w:header="708" w:footer="708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anumGothic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바탕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나눔고딕">
    <w:panose1 w:val="020F0502020204030204"/>
    <w:charset w:val="0"/>
    <w:family w:val="mordern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isplayHorizontalDrawingGridEvery w:val="0"/>
  <w:displayVerticalDrawingGridEvery w:val="2"/>
  <w:noPunctuationKerning/>
  <w:characterSpacingControl w:val="doNotCompress"/>
  <w:bordersDoNotSurroundHeader/>
  <w:bordersDoNotSurroundFooter/>
  <w:compat w:val="0">
    <w:doNotExpandShiftReturn/>
    <w:useFELayout/>
    <w:compatSetting w:name="compatibilityMode" w:uri="http://schemas.microsoft.com/office/word" w:val="14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/>
    </w:pPrDefault>
    <w:rPrDefault>
      <w:rPr>
        <w:rFonts w:ascii="Times New Roman" w:eastAsia="바탕" w:hAnsi="Times New Roman"/>
        <w:shd w:val="clear"/>
        <w:sz w:val="20"/>
        <w:szCs w:val="20"/>
        <w:w w:val="100"/>
      </w:rPr>
    </w:rPrDefault>
  </w:docDefaults>
  <w:style w:default="1" w:styleId="PO1" w:type="paragraph">
    <w:name w:val="Normal"/>
    <w:uiPriority w:val="1"/>
    <w:pPr>
      <w:autoSpaceDE w:val="0"/>
      <w:autoSpaceDN w:val="0"/>
      <w:jc w:val="both"/>
    </w:pPr>
    <w:rPr>
      <w:rFonts w:ascii="바탕" w:eastAsia="NanumGothic" w:hAnsi="바탕"/>
      <w:shd w:val="clear"/>
      <w:sz w:val="20"/>
      <w:szCs w:val="20"/>
      <w:w w:val="100"/>
    </w:rPr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customStyle="1" w:styleId="PO151" w:type="table">
    <w:name w:val="Default Table"/>
    <w:uiPriority w:val="151"/>
    <w:tblPr>
      <w:tblBorders>
        <w:bottom w:color="000000" w:sz="4" w:val="single"/>
        <w:insideH w:color="000000" w:sz="4" w:val="single"/>
        <w:insideV w:color="000000" w:sz="4" w:val="single"/>
        <w:left w:color="000000" w:sz="4" w:val="single"/>
        <w:right w:color="000000" w:sz="4" w:val="single"/>
        <w:top w:color="000000" w:sz="4" w:val="single"/>
      </w:tblBorders>
      <w:tblCellMar>
        <w:bottom w:type="dxa" w:w="0"/>
        <w:left w:type="dxa" w:w="108"/>
        <w:right w:type="dxa" w:w="108"/>
        <w:top w:type="dxa" w:w="0"/>
      </w:tblCellMar>
    </w:tblPr>
  </w:style>
  <w:style w:customStyle="1" w:styleId="PO152" w:type="paragraph">
    <w:name w:val="ParaAttribute0"/>
    <w:uiPriority w:val="152"/>
    <w:pPr/>
  </w:style>
  <w:style w:customStyle="1" w:styleId="PO153" w:type="character">
    <w:name w:val="CharAttribute0"/>
    <w:uiPriority w:val="153"/>
    <w:rPr>
      <w:rFonts w:ascii="Times New Roman" w:eastAsia="Times New Roman" w:hAnsi="Times New Roman"/>
      <w:shd w:val="clear"/>
      <w:sz w:val="20"/>
      <w:szCs w:val="20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>
</a:sysClr>
      </a:dk1>
      <a:lt1>
        <a:sysClr val="window" lastClr="FFFFFF">
</a:sysClr>
      </a:lt1>
      <a:dk2>
        <a:srgbClr val="1F497D">
</a:srgbClr>
      </a:dk2>
      <a:lt2>
        <a:srgbClr val="EEECE1">
</a:srgbClr>
      </a:lt2>
      <a:accent1>
        <a:srgbClr val="4F81BD">
</a:srgbClr>
      </a:accent1>
      <a:accent2>
        <a:srgbClr val="C0504D">
</a:srgbClr>
      </a:accent2>
      <a:accent3>
        <a:srgbClr val="9BBB59">
</a:srgbClr>
      </a:accent3>
      <a:accent4>
        <a:srgbClr val="8064A2">
</a:srgbClr>
      </a:accent4>
      <a:accent5>
        <a:srgbClr val="4BACC6">
</a:srgbClr>
      </a:accent5>
      <a:accent6>
        <a:srgbClr val="F79646">
</a:srgbClr>
      </a:accent6>
      <a:hlink>
        <a:srgbClr val="0000FF">
</a:srgbClr>
      </a:hlink>
      <a:folHlink>
        <a:srgbClr val="800080">
</a:srgbClr>
      </a:folHlink>
    </a:clrScheme>
    <a:fontScheme name="Office">
      <a:majorFont>
        <a:latin typeface="맑은 고딕">
</a:latin>
        <a:ea typeface="">
</a:ea>
        <a:cs typeface="">
</a:cs>
      </a:majorFont>
      <a:minorFont>
        <a:latin typeface="맑은 고딕">
</a:latin>
        <a:ea typeface="">
</a:ea>
        <a:cs typeface="">
</a:cs>
      </a:minorFont>
    </a:fontScheme>
    <a:fmtScheme name="Office">
      <a:fillStyleLst>
        <a:solidFill>
          <a:schemeClr val="phClr">
</a:schemeClr>
        </a:solidFill>
        <a:gradFill rotWithShape="1">
          <a:gsLst>
            <a:gs pos="0">
              <a:schemeClr val="phClr">
                <a:tint val="50000">
</a:tint>
                <a:satMod val="300000">
</a:satMod>
              </a:schemeClr>
            </a:gs>
            <a:gs pos="35000">
              <a:schemeClr val="phClr">
                <a:tint val="37000">
</a:tint>
                <a:satMod val="300000">
</a:satMod>
              </a:schemeClr>
            </a:gs>
            <a:gs pos="100000">
              <a:schemeClr val="phClr">
                <a:tint val="15000">
</a:tint>
                <a:satMod val="350000">
</a:satMod>
              </a:schemeClr>
            </a:gs>
          </a:gsLst>
          <a:lin ang="16200000" scaled="1">
</a:lin>
        </a:gradFill>
        <a:gradFill rotWithShape="1">
          <a:gsLst>
            <a:gs pos="0">
              <a:schemeClr val="phClr">
                <a:shade val="51000">
</a:shade>
                <a:satMod val="130000">
</a:satMod>
              </a:schemeClr>
            </a:gs>
            <a:gs pos="80000">
              <a:schemeClr val="phClr">
                <a:shade val="93000">
</a:shade>
                <a:satMod val="130000">
</a:satMod>
              </a:schemeClr>
            </a:gs>
            <a:gs pos="100000">
              <a:schemeClr val="phClr">
                <a:shade val="94000">
</a:shade>
                <a:satMod val="135000">
</a:satMod>
              </a:schemeClr>
            </a:gs>
          </a:gsLst>
          <a:lin ang="16200000" scaled="0">
</a:lin>
        </a:gradFill>
      </a:fillStyleLst>
      <a:lnStyleLst>
        <a:ln w="9525" cap="flat" cmpd="sng" algn="ctr">
          <a:solidFill>
            <a:schemeClr val="phClr">
              <a:shade val="95000">
</a:shade>
              <a:satMod val="105000">
</a:satMod>
            </a:schemeClr>
          </a:solidFill>
          <a:prstDash val="solid">
</a:prstDash>
        </a:ln>
        <a:ln w="25400" cap="flat" cmpd="sng" algn="ctr">
          <a:solidFill>
            <a:schemeClr val="phClr">
</a:schemeClr>
          </a:solidFill>
          <a:prstDash val="solid">
</a:prstDash>
        </a:ln>
        <a:ln w="38100" cap="flat" cmpd="sng" algn="ctr">
          <a:solidFill>
            <a:schemeClr val="phClr">
</a:schemeClr>
          </a:solidFill>
          <a:prstDash val="solid">
</a:prstDash>
        </a:ln>
      </a:lnStyleLst>
      <a:effectStyleLst>
        <a:effectStyle>
          <a:effectLst>
            <a:outerShdw blurRad="40000" dist="20000" dir="5400000" rotWithShape="0">
              <a:srgbClr val="000000">
                <a:alpha val="38000">
</a:alpha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>
</a:alpha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>
</a:alpha>
              </a:srgbClr>
            </a:outerShdw>
          </a:effectLst>
          <a:scene3d>
            <a:camera prst="orthographicFront">
              <a:rot lat="0" lon="0" rev="0">
</a:rot>
            </a:camera>
            <a:lightRig rig="threePt" dir="t">
              <a:rot lat="0" lon="0" rev="1200000">
</a:rot>
            </a:lightRig>
          </a:scene3d>
          <a:sp3d>
            <a:bevelT w="63500" h="25400">
</a:bevelT>
          </a:sp3d>
        </a:effectStyle>
      </a:effectStyleLst>
      <a:bgFillStyleLst>
        <a:solidFill>
          <a:schemeClr val="phClr">
</a:schemeClr>
        </a:solidFill>
        <a:gradFill rotWithShape="1">
          <a:gsLst>
            <a:gs pos="0">
              <a:schemeClr val="phClr">
                <a:tint val="40000">
</a:tint>
                <a:satMod val="350000">
</a:satMod>
              </a:schemeClr>
            </a:gs>
            <a:gs pos="40000">
              <a:schemeClr val="phClr">
                <a:tint val="45000">
</a:tint>
                <a:shade val="99000">
</a:shade>
                <a:satMod val="350000">
</a:satMod>
              </a:schemeClr>
            </a:gs>
            <a:gs pos="100000">
              <a:schemeClr val="phClr">
                <a:shade val="20000">
</a:shade>
                <a:satMod val="255000">
</a:satMod>
              </a:schemeClr>
            </a:gs>
          </a:gsLst>
          <a:path path="circle">
            <a:fillToRect l="50000" t="-80000" r="50000" b="180000">
</a:fillToRect>
          </a:path>
        </a:gradFill>
        <a:gradFill rotWithShape="1">
          <a:gsLst>
            <a:gs pos="0">
              <a:schemeClr val="phClr">
                <a:tint val="80000">
</a:tint>
                <a:satMod val="300000">
</a:satMod>
              </a:schemeClr>
            </a:gs>
            <a:gs pos="100000">
              <a:schemeClr val="phClr">
                <a:shade val="30000">
</a:shade>
                <a:satMod val="200000">
</a:satMod>
              </a:schemeClr>
            </a:gs>
          </a:gsLst>
          <a:path path="circle">
            <a:fillToRect l="50000" t="50000" r="50000" b="50000">
</a:fillToRect>
          </a:path>
        </a:gradFill>
      </a:bgFillStyleLst>
    </a:fmtScheme>
  </a:themeElements>
  <a:objectDefaults>
</a:objectDefaults>
  <a:extraClrSchemeLst>
</a:extraClrScheme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AppVersion>12.000</AppVersion>
  <Characters>0</Characters>
  <CharactersWithSpaces>0</CharactersWithSpaces>
  <DocSecurity>0</DocSecurity>
  <HyperlinksChanged>false</HyperlinksChanged>
  <Lines>0</Lines>
  <LinksUpToDate>false</LinksUpToDate>
  <Pages>2</Pages>
  <Paragraphs>0</Paragraphs>
  <Words>0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Chio Tllz </dc:creator>
  <cp:lastModifiedBy>Chio Tllz </cp:lastModifiedBy>
  <dcterms:modified xsi:type="dcterms:W3CDTF">2014-10-02T03:09:00Z</dcterms:modified>
</cp:coreProperties>
</file>