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7245" w:rsidRPr="008D14BE" w:rsidRDefault="008D14BE" w:rsidP="008D14BE">
      <w:pPr>
        <w:spacing w:after="0" w:line="240" w:lineRule="auto"/>
        <w:jc w:val="center"/>
        <w:rPr>
          <w:rFonts w:ascii="Arial" w:hAnsi="Arial" w:cs="Arial"/>
          <w:b/>
        </w:rPr>
      </w:pPr>
      <w:r w:rsidRPr="008D14BE">
        <w:rPr>
          <w:rFonts w:ascii="Arial" w:hAnsi="Arial" w:cs="Arial"/>
          <w:b/>
        </w:rPr>
        <w:t>Cinco Cosas Que Necesitamos Saber Sobre El Cambio Tecnológico</w:t>
      </w:r>
    </w:p>
    <w:p w:rsidR="0028493D" w:rsidRDefault="008D14BE" w:rsidP="008D14BE">
      <w:pPr>
        <w:spacing w:after="0" w:line="240" w:lineRule="auto"/>
        <w:jc w:val="center"/>
        <w:rPr>
          <w:rFonts w:ascii="Arial" w:hAnsi="Arial" w:cs="Arial"/>
        </w:rPr>
      </w:pPr>
      <w:r w:rsidRPr="00AE781E">
        <w:rPr>
          <w:rFonts w:ascii="Arial" w:hAnsi="Arial" w:cs="Arial"/>
        </w:rPr>
        <w:t xml:space="preserve">Neil </w:t>
      </w:r>
      <w:proofErr w:type="spellStart"/>
      <w:r w:rsidRPr="00AE781E">
        <w:rPr>
          <w:rFonts w:ascii="Arial" w:hAnsi="Arial" w:cs="Arial"/>
        </w:rPr>
        <w:t>Postman</w:t>
      </w:r>
      <w:proofErr w:type="spellEnd"/>
    </w:p>
    <w:p w:rsidR="008D14BE" w:rsidRPr="00AE781E" w:rsidRDefault="008D14BE" w:rsidP="008D14BE">
      <w:pPr>
        <w:spacing w:after="0" w:line="240" w:lineRule="auto"/>
        <w:jc w:val="center"/>
        <w:rPr>
          <w:rFonts w:ascii="Arial" w:hAnsi="Arial" w:cs="Arial"/>
        </w:rPr>
      </w:pPr>
    </w:p>
    <w:p w:rsidR="0028493D" w:rsidRPr="00AE781E" w:rsidRDefault="008D14BE" w:rsidP="0028493D">
      <w:pPr>
        <w:jc w:val="both"/>
        <w:rPr>
          <w:rFonts w:ascii="Arial" w:hAnsi="Arial" w:cs="Arial"/>
        </w:rPr>
      </w:pPr>
      <w:r w:rsidRPr="00AE781E">
        <w:rPr>
          <w:rFonts w:ascii="Arial" w:hAnsi="Arial" w:cs="Arial"/>
          <w:noProof/>
          <w:lang w:eastAsia="es-MX"/>
        </w:rPr>
        <w:drawing>
          <wp:anchor distT="0" distB="0" distL="114300" distR="114300" simplePos="0" relativeHeight="251658240" behindDoc="1" locked="0" layoutInCell="1" allowOverlap="1" wp14:anchorId="1394A66D" wp14:editId="48C14F35">
            <wp:simplePos x="0" y="0"/>
            <wp:positionH relativeFrom="column">
              <wp:posOffset>-260985</wp:posOffset>
            </wp:positionH>
            <wp:positionV relativeFrom="paragraph">
              <wp:posOffset>934085</wp:posOffset>
            </wp:positionV>
            <wp:extent cx="2018665" cy="2162175"/>
            <wp:effectExtent l="190500" t="171450" r="191135" b="180975"/>
            <wp:wrapTight wrapText="bothSides">
              <wp:wrapPolygon edited="0">
                <wp:start x="20671" y="-212"/>
                <wp:lineTo x="3438" y="-3208"/>
                <wp:lineTo x="2841" y="-214"/>
                <wp:lineTo x="35" y="-702"/>
                <wp:lineTo x="-562" y="2291"/>
                <wp:lineTo x="-955" y="8418"/>
                <wp:lineTo x="-1147" y="14579"/>
                <wp:lineTo x="-915" y="19652"/>
                <wp:lineTo x="-449" y="21475"/>
                <wp:lineTo x="353" y="21615"/>
                <wp:lineTo x="553" y="21650"/>
                <wp:lineTo x="3871" y="21646"/>
                <wp:lineTo x="4072" y="21681"/>
                <wp:lineTo x="21502" y="21614"/>
                <wp:lineTo x="21861" y="18772"/>
                <wp:lineTo x="21874" y="-3"/>
                <wp:lineTo x="20671" y="-212"/>
              </wp:wrapPolygon>
            </wp:wrapTight>
            <wp:docPr id="1" name="Imagen 1" descr="http://www.revistadeletras.net/wp-content/uploads/2011/05/Faus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evistadeletras.net/wp-content/uploads/2011/05/Faust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20967075">
                      <a:off x="0" y="0"/>
                      <a:ext cx="2018665" cy="2162175"/>
                    </a:xfrm>
                    <a:prstGeom prst="rect">
                      <a:avLst/>
                    </a:prstGeom>
                    <a:noFill/>
                    <a:ln>
                      <a:noFill/>
                    </a:ln>
                  </pic:spPr>
                </pic:pic>
              </a:graphicData>
            </a:graphic>
            <wp14:sizeRelH relativeFrom="page">
              <wp14:pctWidth>0</wp14:pctWidth>
            </wp14:sizeRelH>
            <wp14:sizeRelV relativeFrom="page">
              <wp14:pctHeight>0</wp14:pctHeight>
            </wp14:sizeRelV>
          </wp:anchor>
        </w:drawing>
      </w:r>
      <w:r w:rsidR="00EC0858" w:rsidRPr="00AE781E">
        <w:rPr>
          <w:rFonts w:ascii="Arial" w:hAnsi="Arial" w:cs="Arial"/>
        </w:rPr>
        <w:t xml:space="preserve">En su calidad </w:t>
      </w:r>
      <w:r w:rsidR="00596B9C" w:rsidRPr="00AE781E">
        <w:rPr>
          <w:rFonts w:ascii="Arial" w:hAnsi="Arial" w:cs="Arial"/>
        </w:rPr>
        <w:t xml:space="preserve">de </w:t>
      </w:r>
      <w:r w:rsidR="00B02B85" w:rsidRPr="00AE781E">
        <w:rPr>
          <w:rFonts w:ascii="Arial" w:hAnsi="Arial" w:cs="Arial"/>
        </w:rPr>
        <w:t>decano</w:t>
      </w:r>
      <w:r w:rsidR="00596B9C" w:rsidRPr="00AE781E">
        <w:rPr>
          <w:rFonts w:ascii="Arial" w:hAnsi="Arial" w:cs="Arial"/>
        </w:rPr>
        <w:t xml:space="preserve"> </w:t>
      </w:r>
      <w:r w:rsidR="00B02B85" w:rsidRPr="00AE781E">
        <w:rPr>
          <w:rFonts w:ascii="Arial" w:hAnsi="Arial" w:cs="Arial"/>
        </w:rPr>
        <w:t xml:space="preserve">en la Universidad de Nueva York Neil </w:t>
      </w:r>
      <w:proofErr w:type="spellStart"/>
      <w:r w:rsidR="00B02B85" w:rsidRPr="00AE781E">
        <w:rPr>
          <w:rFonts w:ascii="Arial" w:hAnsi="Arial" w:cs="Arial"/>
        </w:rPr>
        <w:t>Postman</w:t>
      </w:r>
      <w:proofErr w:type="spellEnd"/>
      <w:r w:rsidR="00B02B85" w:rsidRPr="00AE781E">
        <w:rPr>
          <w:rFonts w:ascii="Arial" w:hAnsi="Arial" w:cs="Arial"/>
        </w:rPr>
        <w:t xml:space="preserve"> pronunció un discurso el 27 de marzo de 1998 en el Congreso Internacional sobre Nuevas Tecnologías y Persona Humana: Comunicando la fe en el Nuevo Milenio, o New </w:t>
      </w:r>
      <w:proofErr w:type="spellStart"/>
      <w:r w:rsidR="00B02B85" w:rsidRPr="00AE781E">
        <w:rPr>
          <w:rFonts w:ascii="Arial" w:hAnsi="Arial" w:cs="Arial"/>
        </w:rPr>
        <w:t>Tech</w:t>
      </w:r>
      <w:proofErr w:type="spellEnd"/>
      <w:r w:rsidR="00B02B85" w:rsidRPr="00AE781E">
        <w:rPr>
          <w:rFonts w:ascii="Arial" w:hAnsi="Arial" w:cs="Arial"/>
        </w:rPr>
        <w:t xml:space="preserve"> 98, en el que explica cinco hechos asociados al cambio tecnológico y que inciden de forma negativa en la cultura y estructuras sociales. </w:t>
      </w:r>
    </w:p>
    <w:p w:rsidR="00394A20" w:rsidRPr="00AE781E" w:rsidRDefault="00394A20" w:rsidP="0028493D">
      <w:pPr>
        <w:jc w:val="both"/>
        <w:rPr>
          <w:rFonts w:ascii="Arial" w:hAnsi="Arial" w:cs="Arial"/>
        </w:rPr>
      </w:pPr>
      <w:r w:rsidRPr="00AE781E">
        <w:rPr>
          <w:rFonts w:ascii="Arial" w:hAnsi="Arial" w:cs="Arial"/>
        </w:rPr>
        <w:t xml:space="preserve">La primera tesis tiene que ver con el intercambio. Para </w:t>
      </w:r>
      <w:proofErr w:type="spellStart"/>
      <w:r w:rsidRPr="00AE781E">
        <w:rPr>
          <w:rFonts w:ascii="Arial" w:hAnsi="Arial" w:cs="Arial"/>
        </w:rPr>
        <w:t>Postman</w:t>
      </w:r>
      <w:proofErr w:type="spellEnd"/>
      <w:r w:rsidRPr="00AE781E">
        <w:rPr>
          <w:rFonts w:ascii="Arial" w:hAnsi="Arial" w:cs="Arial"/>
        </w:rPr>
        <w:t>, todo tiene consecuencias no sólo positivas, la tec</w:t>
      </w:r>
      <w:r w:rsidR="00661358" w:rsidRPr="00AE781E">
        <w:rPr>
          <w:rFonts w:ascii="Arial" w:hAnsi="Arial" w:cs="Arial"/>
        </w:rPr>
        <w:t xml:space="preserve">nología otorga y también quita, lo que se ejemplifica de prolija manera con la metáfora en la que Fausto a cambio de mayor conocimiento vende su alma a Mefistófeles. En éste mismo sentido, la tecnología ha llegado a transformar el mundo social trayendo beneficios tales como el avance </w:t>
      </w:r>
      <w:bookmarkStart w:id="0" w:name="_GoBack"/>
      <w:bookmarkEnd w:id="0"/>
      <w:r w:rsidR="00661358" w:rsidRPr="00AE781E">
        <w:rPr>
          <w:rFonts w:ascii="Arial" w:hAnsi="Arial" w:cs="Arial"/>
        </w:rPr>
        <w:t>tecno</w:t>
      </w:r>
      <w:r w:rsidR="00D309A8" w:rsidRPr="00AE781E">
        <w:rPr>
          <w:rFonts w:ascii="Arial" w:hAnsi="Arial" w:cs="Arial"/>
        </w:rPr>
        <w:t>lógico, pero trayendo también problemas sociales.</w:t>
      </w:r>
    </w:p>
    <w:p w:rsidR="0017315B" w:rsidRPr="00AE781E" w:rsidRDefault="0015330F" w:rsidP="0017315B">
      <w:pPr>
        <w:jc w:val="both"/>
        <w:rPr>
          <w:rFonts w:ascii="Arial" w:hAnsi="Arial" w:cs="Arial"/>
        </w:rPr>
      </w:pPr>
      <w:r w:rsidRPr="00AE781E">
        <w:rPr>
          <w:rFonts w:ascii="Arial" w:hAnsi="Arial" w:cs="Arial"/>
        </w:rPr>
        <w:t xml:space="preserve">Alonso </w:t>
      </w:r>
      <w:proofErr w:type="spellStart"/>
      <w:r w:rsidRPr="00AE781E">
        <w:rPr>
          <w:rFonts w:ascii="Arial" w:hAnsi="Arial" w:cs="Arial"/>
        </w:rPr>
        <w:t>Puelles</w:t>
      </w:r>
      <w:proofErr w:type="spellEnd"/>
      <w:r w:rsidR="00147473" w:rsidRPr="00AE781E">
        <w:rPr>
          <w:rFonts w:ascii="Arial" w:hAnsi="Arial" w:cs="Arial"/>
        </w:rPr>
        <w:t xml:space="preserve"> en su artículo </w:t>
      </w:r>
      <w:r w:rsidRPr="00AE781E">
        <w:rPr>
          <w:rFonts w:ascii="Arial" w:hAnsi="Arial" w:cs="Arial"/>
          <w:i/>
        </w:rPr>
        <w:t>Riesgos y beneficios sociales del cambio tecnológico</w:t>
      </w:r>
      <w:r w:rsidR="00147473" w:rsidRPr="00AE781E">
        <w:rPr>
          <w:rFonts w:ascii="Arial" w:hAnsi="Arial" w:cs="Arial"/>
        </w:rPr>
        <w:t xml:space="preserve"> concuerda con lo anterior </w:t>
      </w:r>
      <w:r w:rsidRPr="00AE781E">
        <w:rPr>
          <w:rFonts w:ascii="Arial" w:hAnsi="Arial" w:cs="Arial"/>
        </w:rPr>
        <w:t xml:space="preserve">al puntualizar la definición de ‘riesgo’, </w:t>
      </w:r>
      <w:r w:rsidR="005405A8" w:rsidRPr="00AE781E">
        <w:rPr>
          <w:rFonts w:ascii="Arial" w:hAnsi="Arial" w:cs="Arial"/>
        </w:rPr>
        <w:t xml:space="preserve">y la implicación de la </w:t>
      </w:r>
      <w:r w:rsidRPr="00AE781E">
        <w:rPr>
          <w:rFonts w:ascii="Arial" w:hAnsi="Arial" w:cs="Arial"/>
        </w:rPr>
        <w:t>res</w:t>
      </w:r>
      <w:r w:rsidR="005405A8" w:rsidRPr="00AE781E">
        <w:rPr>
          <w:rFonts w:ascii="Arial" w:hAnsi="Arial" w:cs="Arial"/>
        </w:rPr>
        <w:t xml:space="preserve">ponsabilidad por parte de los usuarios. </w:t>
      </w:r>
      <w:r w:rsidR="004C470D" w:rsidRPr="00AE781E">
        <w:rPr>
          <w:rFonts w:ascii="Arial" w:hAnsi="Arial" w:cs="Arial"/>
        </w:rPr>
        <w:t>A manera de riesgos enumera</w:t>
      </w:r>
      <w:r w:rsidR="005405A8" w:rsidRPr="00AE781E">
        <w:rPr>
          <w:rFonts w:ascii="Arial" w:hAnsi="Arial" w:cs="Arial"/>
        </w:rPr>
        <w:t xml:space="preserve"> la preocupación </w:t>
      </w:r>
      <w:r w:rsidR="004C470D" w:rsidRPr="00AE781E">
        <w:rPr>
          <w:rFonts w:ascii="Arial" w:hAnsi="Arial" w:cs="Arial"/>
        </w:rPr>
        <w:t xml:space="preserve">(atenuada) </w:t>
      </w:r>
      <w:r w:rsidR="005405A8" w:rsidRPr="00AE781E">
        <w:rPr>
          <w:rFonts w:ascii="Arial" w:hAnsi="Arial" w:cs="Arial"/>
        </w:rPr>
        <w:t xml:space="preserve">de Marx en lo relativo a las posibilidades </w:t>
      </w:r>
      <w:r w:rsidR="00320784" w:rsidRPr="00AE781E">
        <w:rPr>
          <w:rFonts w:ascii="Arial" w:hAnsi="Arial" w:cs="Arial"/>
        </w:rPr>
        <w:t>de mercantilizar el tiempo y en segundo término aborda el cambio como factor de construcción y deconstrucción de las instituciones sociales.</w:t>
      </w:r>
    </w:p>
    <w:p w:rsidR="00180E2C" w:rsidRPr="00AE781E" w:rsidRDefault="00713E2B" w:rsidP="0017315B">
      <w:pPr>
        <w:jc w:val="both"/>
        <w:rPr>
          <w:rFonts w:ascii="Arial" w:hAnsi="Arial" w:cs="Arial"/>
        </w:rPr>
      </w:pPr>
      <w:r w:rsidRPr="00AE781E">
        <w:rPr>
          <w:rFonts w:ascii="Arial" w:hAnsi="Arial" w:cs="Arial"/>
        </w:rPr>
        <w:t xml:space="preserve">La segunda tesis de </w:t>
      </w:r>
      <w:proofErr w:type="spellStart"/>
      <w:r w:rsidRPr="00AE781E">
        <w:rPr>
          <w:rFonts w:ascii="Arial" w:hAnsi="Arial" w:cs="Arial"/>
        </w:rPr>
        <w:t>Postman</w:t>
      </w:r>
      <w:proofErr w:type="spellEnd"/>
      <w:r w:rsidR="00180E2C" w:rsidRPr="00AE781E">
        <w:rPr>
          <w:rFonts w:ascii="Arial" w:hAnsi="Arial" w:cs="Arial"/>
        </w:rPr>
        <w:t xml:space="preserve"> se relaciona con el poder del discurso, en el que a través de la idea de la prosperidad de involucra a la sociedad</w:t>
      </w:r>
      <w:r w:rsidR="008C6012" w:rsidRPr="00AE781E">
        <w:rPr>
          <w:rFonts w:ascii="Arial" w:hAnsi="Arial" w:cs="Arial"/>
        </w:rPr>
        <w:t xml:space="preserve"> en el uso de los medios al tiempo que</w:t>
      </w:r>
      <w:r w:rsidR="00180E2C" w:rsidRPr="00AE781E">
        <w:rPr>
          <w:rFonts w:ascii="Arial" w:hAnsi="Arial" w:cs="Arial"/>
        </w:rPr>
        <w:t xml:space="preserve"> es sometida. </w:t>
      </w:r>
      <w:r w:rsidR="00CE36E3" w:rsidRPr="00AE781E">
        <w:rPr>
          <w:rFonts w:ascii="Arial" w:hAnsi="Arial" w:cs="Arial"/>
        </w:rPr>
        <w:t>El autor habla de la falta de información</w:t>
      </w:r>
      <w:r w:rsidR="00062710" w:rsidRPr="00AE781E">
        <w:rPr>
          <w:rFonts w:ascii="Arial" w:hAnsi="Arial" w:cs="Arial"/>
        </w:rPr>
        <w:t xml:space="preserve"> sobre las ventajas  y desventajas de la tecnología</w:t>
      </w:r>
      <w:r w:rsidR="00CE36E3" w:rsidRPr="00AE781E">
        <w:rPr>
          <w:rFonts w:ascii="Arial" w:hAnsi="Arial" w:cs="Arial"/>
        </w:rPr>
        <w:t xml:space="preserve"> que debería a</w:t>
      </w:r>
      <w:r w:rsidR="008C6012" w:rsidRPr="00AE781E">
        <w:rPr>
          <w:rFonts w:ascii="Arial" w:hAnsi="Arial" w:cs="Arial"/>
        </w:rPr>
        <w:t xml:space="preserve">compañar al objeto tecnológico, idea que </w:t>
      </w:r>
      <w:proofErr w:type="spellStart"/>
      <w:r w:rsidR="008C6012" w:rsidRPr="00AE781E">
        <w:rPr>
          <w:rFonts w:ascii="Arial" w:hAnsi="Arial" w:cs="Arial"/>
        </w:rPr>
        <w:t>M</w:t>
      </w:r>
      <w:r w:rsidR="006B5F7C" w:rsidRPr="00AE781E">
        <w:rPr>
          <w:rFonts w:ascii="Arial" w:hAnsi="Arial" w:cs="Arial"/>
        </w:rPr>
        <w:t>attelart</w:t>
      </w:r>
      <w:proofErr w:type="spellEnd"/>
      <w:r w:rsidR="006B5F7C" w:rsidRPr="00AE781E">
        <w:rPr>
          <w:rFonts w:ascii="Arial" w:hAnsi="Arial" w:cs="Arial"/>
        </w:rPr>
        <w:t xml:space="preserve"> expresa en estas palabras: “</w:t>
      </w:r>
      <w:r w:rsidR="006B5F7C" w:rsidRPr="00AE781E">
        <w:rPr>
          <w:rFonts w:ascii="Arial" w:hAnsi="Arial" w:cs="Arial"/>
          <w:i/>
        </w:rPr>
        <w:t xml:space="preserve">La falta de una propedéutica de apropiación de las tecnologías digitales corre pareja con la fascinación por el objeto técnico </w:t>
      </w:r>
      <w:r w:rsidR="00062710" w:rsidRPr="00AE781E">
        <w:rPr>
          <w:rFonts w:ascii="Arial" w:hAnsi="Arial" w:cs="Arial"/>
          <w:i/>
        </w:rPr>
        <w:t>(…)</w:t>
      </w:r>
      <w:r w:rsidR="006B5F7C" w:rsidRPr="00AE781E">
        <w:rPr>
          <w:rFonts w:ascii="Arial" w:hAnsi="Arial" w:cs="Arial"/>
        </w:rPr>
        <w:t>”  (</w:t>
      </w:r>
      <w:proofErr w:type="spellStart"/>
      <w:r w:rsidR="006B5F7C" w:rsidRPr="00AE781E">
        <w:rPr>
          <w:rFonts w:ascii="Arial" w:hAnsi="Arial" w:cs="Arial"/>
        </w:rPr>
        <w:t>Mattelart</w:t>
      </w:r>
      <w:proofErr w:type="spellEnd"/>
      <w:r w:rsidR="006B5F7C" w:rsidRPr="00AE781E">
        <w:rPr>
          <w:rFonts w:ascii="Arial" w:hAnsi="Arial" w:cs="Arial"/>
        </w:rPr>
        <w:t>,</w:t>
      </w:r>
      <w:r w:rsidR="00234B94" w:rsidRPr="00AE781E">
        <w:rPr>
          <w:rFonts w:ascii="Arial" w:hAnsi="Arial" w:cs="Arial"/>
        </w:rPr>
        <w:t xml:space="preserve"> 200</w:t>
      </w:r>
      <w:r w:rsidR="00301C45" w:rsidRPr="00AE781E">
        <w:rPr>
          <w:rFonts w:ascii="Arial" w:hAnsi="Arial" w:cs="Arial"/>
        </w:rPr>
        <w:t>2</w:t>
      </w:r>
      <w:r w:rsidR="006B5F7C" w:rsidRPr="00AE781E">
        <w:rPr>
          <w:rFonts w:ascii="Arial" w:hAnsi="Arial" w:cs="Arial"/>
        </w:rPr>
        <w:t>, p. 163)</w:t>
      </w:r>
      <w:r w:rsidR="00914B7F" w:rsidRPr="00AE781E">
        <w:rPr>
          <w:rFonts w:ascii="Arial" w:hAnsi="Arial" w:cs="Arial"/>
        </w:rPr>
        <w:t xml:space="preserve">. Para </w:t>
      </w:r>
      <w:proofErr w:type="spellStart"/>
      <w:r w:rsidR="00914B7F" w:rsidRPr="00AE781E">
        <w:rPr>
          <w:rFonts w:ascii="Arial" w:hAnsi="Arial" w:cs="Arial"/>
        </w:rPr>
        <w:t>Postman</w:t>
      </w:r>
      <w:proofErr w:type="spellEnd"/>
      <w:r w:rsidR="00914B7F" w:rsidRPr="00AE781E">
        <w:rPr>
          <w:rFonts w:ascii="Arial" w:hAnsi="Arial" w:cs="Arial"/>
        </w:rPr>
        <w:t xml:space="preserve">, las tecnologías no son un sinónimo de calidad de vida, y aunque mucho se habla de la posibilidad de tener acceso a la información, el autor refiere que se ha visto que la información y la tecnología no han resuelto problemas sociales. </w:t>
      </w:r>
      <w:r w:rsidR="008C6012" w:rsidRPr="00AE781E">
        <w:rPr>
          <w:rFonts w:ascii="Arial" w:hAnsi="Arial" w:cs="Arial"/>
        </w:rPr>
        <w:t xml:space="preserve">A su vez, retoma la idea </w:t>
      </w:r>
      <w:proofErr w:type="spellStart"/>
      <w:r w:rsidR="008C6012" w:rsidRPr="00AE781E">
        <w:rPr>
          <w:rFonts w:ascii="Arial" w:hAnsi="Arial" w:cs="Arial"/>
        </w:rPr>
        <w:t>foucaultiana</w:t>
      </w:r>
      <w:proofErr w:type="spellEnd"/>
      <w:r w:rsidR="008C6012" w:rsidRPr="00AE781E">
        <w:rPr>
          <w:rFonts w:ascii="Arial" w:hAnsi="Arial" w:cs="Arial"/>
        </w:rPr>
        <w:t xml:space="preserve"> relativa a las sociedades de la vigilancia en la que precisamente la perdida de la privacidad puede resultar en mayor sometimiento. </w:t>
      </w:r>
    </w:p>
    <w:p w:rsidR="004B6855" w:rsidRPr="00AE781E" w:rsidRDefault="00062710" w:rsidP="00ED0CC4">
      <w:pPr>
        <w:jc w:val="both"/>
        <w:rPr>
          <w:rFonts w:ascii="Arial" w:hAnsi="Arial" w:cs="Arial"/>
        </w:rPr>
      </w:pPr>
      <w:r w:rsidRPr="00AE781E">
        <w:rPr>
          <w:rFonts w:ascii="Arial" w:hAnsi="Arial" w:cs="Arial"/>
        </w:rPr>
        <w:t xml:space="preserve">La tercera tesis abordada por </w:t>
      </w:r>
      <w:proofErr w:type="spellStart"/>
      <w:r w:rsidRPr="00AE781E">
        <w:rPr>
          <w:rFonts w:ascii="Arial" w:hAnsi="Arial" w:cs="Arial"/>
        </w:rPr>
        <w:t>Postman</w:t>
      </w:r>
      <w:proofErr w:type="spellEnd"/>
      <w:r w:rsidRPr="00AE781E">
        <w:rPr>
          <w:rFonts w:ascii="Arial" w:hAnsi="Arial" w:cs="Arial"/>
        </w:rPr>
        <w:t xml:space="preserve"> se refiere </w:t>
      </w:r>
      <w:r w:rsidR="00F60E89" w:rsidRPr="00AE781E">
        <w:rPr>
          <w:rFonts w:ascii="Arial" w:hAnsi="Arial" w:cs="Arial"/>
        </w:rPr>
        <w:t xml:space="preserve">a las ideas o filosofía </w:t>
      </w:r>
      <w:r w:rsidR="00E30AB6" w:rsidRPr="00AE781E">
        <w:rPr>
          <w:rFonts w:ascii="Arial" w:hAnsi="Arial" w:cs="Arial"/>
        </w:rPr>
        <w:t xml:space="preserve">detrás de la tecnología y la resultante codificación del mundo a través de las acciones inducidas por la idea. </w:t>
      </w:r>
      <w:r w:rsidR="00827312" w:rsidRPr="00AE781E">
        <w:rPr>
          <w:rFonts w:ascii="Arial" w:hAnsi="Arial" w:cs="Arial"/>
        </w:rPr>
        <w:t xml:space="preserve">En el texto </w:t>
      </w:r>
      <w:r w:rsidR="008B5CD1" w:rsidRPr="00AE781E">
        <w:rPr>
          <w:rFonts w:ascii="Arial" w:hAnsi="Arial" w:cs="Arial"/>
          <w:i/>
        </w:rPr>
        <w:t>Homo Viden</w:t>
      </w:r>
      <w:r w:rsidR="00827312" w:rsidRPr="00AE781E">
        <w:rPr>
          <w:rFonts w:ascii="Arial" w:hAnsi="Arial" w:cs="Arial"/>
          <w:i/>
        </w:rPr>
        <w:t>s. La sociedad teledirigida,</w:t>
      </w:r>
      <w:r w:rsidR="00827312" w:rsidRPr="00AE781E">
        <w:rPr>
          <w:rFonts w:ascii="Arial" w:hAnsi="Arial" w:cs="Arial"/>
        </w:rPr>
        <w:t xml:space="preserve"> por Giovanni Sartori,</w:t>
      </w:r>
      <w:r w:rsidR="00301C45" w:rsidRPr="00AE781E">
        <w:rPr>
          <w:rFonts w:ascii="Arial" w:hAnsi="Arial" w:cs="Arial"/>
        </w:rPr>
        <w:t xml:space="preserve"> (2001)</w:t>
      </w:r>
      <w:r w:rsidR="00827312" w:rsidRPr="00AE781E">
        <w:rPr>
          <w:rFonts w:ascii="Arial" w:hAnsi="Arial" w:cs="Arial"/>
        </w:rPr>
        <w:t xml:space="preserve"> se aborda el desarrollo y se compara la respuesta social ante el periódico, el telégrafo, el teléfono, la radio, la enciclopedia, la televisión y el ordenador. Precisamente, se sugiere que cada uno de los inventos trajeron cambios sociales, y la falta de previsión de los efectos secundarios no se consideraron relevantes en su momento, aunque bien causaron temor en el contexto histórico en el que surgieron, se ejemplifica lo anterior con la </w:t>
      </w:r>
      <w:r w:rsidR="00827312" w:rsidRPr="00AE781E">
        <w:rPr>
          <w:rFonts w:ascii="Arial" w:hAnsi="Arial" w:cs="Arial"/>
          <w:i/>
        </w:rPr>
        <w:t>musicalización</w:t>
      </w:r>
      <w:r w:rsidR="00ED0CC4" w:rsidRPr="00AE781E">
        <w:rPr>
          <w:rFonts w:ascii="Arial" w:hAnsi="Arial" w:cs="Arial"/>
        </w:rPr>
        <w:t xml:space="preserve"> de la vida co</w:t>
      </w:r>
      <w:r w:rsidR="00827312" w:rsidRPr="00AE781E">
        <w:rPr>
          <w:rFonts w:ascii="Arial" w:hAnsi="Arial" w:cs="Arial"/>
        </w:rPr>
        <w:t>tidiana desde el surgimiento de la radio.</w:t>
      </w:r>
      <w:r w:rsidR="00ED0CC4" w:rsidRPr="00AE781E">
        <w:rPr>
          <w:rFonts w:ascii="Arial" w:hAnsi="Arial" w:cs="Arial"/>
        </w:rPr>
        <w:t xml:space="preserve"> </w:t>
      </w:r>
    </w:p>
    <w:p w:rsidR="00460DFE" w:rsidRPr="00AE781E" w:rsidRDefault="00AE781E" w:rsidP="0017315B">
      <w:pPr>
        <w:jc w:val="both"/>
        <w:rPr>
          <w:rFonts w:ascii="Arial" w:hAnsi="Arial" w:cs="Arial"/>
        </w:rPr>
      </w:pPr>
      <w:r w:rsidRPr="00AE781E">
        <w:rPr>
          <w:noProof/>
          <w:lang w:eastAsia="es-MX"/>
        </w:rPr>
        <w:lastRenderedPageBreak/>
        <w:drawing>
          <wp:anchor distT="0" distB="0" distL="114300" distR="114300" simplePos="0" relativeHeight="251661312" behindDoc="1" locked="0" layoutInCell="1" allowOverlap="1" wp14:anchorId="63E273E1" wp14:editId="018459A1">
            <wp:simplePos x="0" y="0"/>
            <wp:positionH relativeFrom="column">
              <wp:posOffset>3890010</wp:posOffset>
            </wp:positionH>
            <wp:positionV relativeFrom="paragraph">
              <wp:posOffset>798195</wp:posOffset>
            </wp:positionV>
            <wp:extent cx="2599690" cy="1580515"/>
            <wp:effectExtent l="133350" t="228600" r="124460" b="229235"/>
            <wp:wrapTight wrapText="bothSides">
              <wp:wrapPolygon edited="0">
                <wp:start x="-411" y="13"/>
                <wp:lineTo x="-388" y="19061"/>
                <wp:lineTo x="-160" y="21110"/>
                <wp:lineTo x="11817" y="21747"/>
                <wp:lineTo x="20665" y="21735"/>
                <wp:lineTo x="20821" y="21689"/>
                <wp:lineTo x="21755" y="21408"/>
                <wp:lineTo x="21675" y="1848"/>
                <wp:lineTo x="21277" y="-1738"/>
                <wp:lineTo x="14836" y="-332"/>
                <wp:lineTo x="14381" y="-4430"/>
                <wp:lineTo x="523" y="-267"/>
                <wp:lineTo x="-411" y="13"/>
              </wp:wrapPolygon>
            </wp:wrapTight>
            <wp:docPr id="5" name="Imagen 5" descr="http://www.tynmagazine.com/Multimedios/imgs/41007_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tynmagazine.com/Multimedios/imgs/41007_62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620966">
                      <a:off x="0" y="0"/>
                      <a:ext cx="2599690" cy="1580515"/>
                    </a:xfrm>
                    <a:prstGeom prst="rect">
                      <a:avLst/>
                    </a:prstGeom>
                    <a:noFill/>
                    <a:ln>
                      <a:noFill/>
                    </a:ln>
                  </pic:spPr>
                </pic:pic>
              </a:graphicData>
            </a:graphic>
            <wp14:sizeRelH relativeFrom="page">
              <wp14:pctWidth>0</wp14:pctWidth>
            </wp14:sizeRelH>
            <wp14:sizeRelV relativeFrom="page">
              <wp14:pctHeight>0</wp14:pctHeight>
            </wp14:sizeRelV>
          </wp:anchor>
        </w:drawing>
      </w:r>
      <w:r w:rsidR="004B6855" w:rsidRPr="00AE781E">
        <w:rPr>
          <w:rFonts w:ascii="Arial" w:hAnsi="Arial" w:cs="Arial"/>
        </w:rPr>
        <w:t xml:space="preserve">La cuarta tesis </w:t>
      </w:r>
      <w:r w:rsidR="00ED0CC4" w:rsidRPr="00AE781E">
        <w:rPr>
          <w:rFonts w:ascii="Arial" w:hAnsi="Arial" w:cs="Arial"/>
        </w:rPr>
        <w:t>sintetiza</w:t>
      </w:r>
      <w:r w:rsidR="008712C1" w:rsidRPr="00AE781E">
        <w:rPr>
          <w:rFonts w:ascii="Arial" w:hAnsi="Arial" w:cs="Arial"/>
        </w:rPr>
        <w:t>da</w:t>
      </w:r>
      <w:r w:rsidR="00ED0CC4" w:rsidRPr="00AE781E">
        <w:rPr>
          <w:rFonts w:ascii="Arial" w:hAnsi="Arial" w:cs="Arial"/>
        </w:rPr>
        <w:t xml:space="preserve"> como “El cambio </w:t>
      </w:r>
      <w:r w:rsidR="003913B2" w:rsidRPr="00AE781E">
        <w:rPr>
          <w:rFonts w:ascii="Arial" w:hAnsi="Arial" w:cs="Arial"/>
        </w:rPr>
        <w:t>tecnológico</w:t>
      </w:r>
      <w:r w:rsidR="00ED0CC4" w:rsidRPr="00AE781E">
        <w:rPr>
          <w:rFonts w:ascii="Arial" w:hAnsi="Arial" w:cs="Arial"/>
        </w:rPr>
        <w:t xml:space="preserve"> no es aditivo</w:t>
      </w:r>
      <w:r w:rsidR="00776196" w:rsidRPr="00AE781E">
        <w:rPr>
          <w:rFonts w:ascii="Arial" w:hAnsi="Arial" w:cs="Arial"/>
        </w:rPr>
        <w:t>:</w:t>
      </w:r>
      <w:r w:rsidR="00ED0CC4" w:rsidRPr="00AE781E">
        <w:rPr>
          <w:rFonts w:ascii="Arial" w:hAnsi="Arial" w:cs="Arial"/>
        </w:rPr>
        <w:t xml:space="preserve"> es ecológico”</w:t>
      </w:r>
      <w:r w:rsidR="00356F8C" w:rsidRPr="00AE781E">
        <w:rPr>
          <w:rFonts w:ascii="Arial" w:hAnsi="Arial" w:cs="Arial"/>
        </w:rPr>
        <w:t xml:space="preserve">. Para </w:t>
      </w:r>
      <w:proofErr w:type="spellStart"/>
      <w:r w:rsidR="00356F8C" w:rsidRPr="00AE781E">
        <w:rPr>
          <w:rFonts w:ascii="Arial" w:hAnsi="Arial" w:cs="Arial"/>
        </w:rPr>
        <w:t>Postman</w:t>
      </w:r>
      <w:proofErr w:type="spellEnd"/>
      <w:r w:rsidR="00356F8C" w:rsidRPr="00AE781E">
        <w:rPr>
          <w:rFonts w:ascii="Arial" w:hAnsi="Arial" w:cs="Arial"/>
        </w:rPr>
        <w:t>, la incursión de las tecnologías implica algo más que un el</w:t>
      </w:r>
      <w:r w:rsidR="009D7DFC" w:rsidRPr="00AE781E">
        <w:rPr>
          <w:rFonts w:ascii="Arial" w:hAnsi="Arial" w:cs="Arial"/>
        </w:rPr>
        <w:t>e</w:t>
      </w:r>
      <w:r w:rsidR="00356F8C" w:rsidRPr="00AE781E">
        <w:rPr>
          <w:rFonts w:ascii="Arial" w:hAnsi="Arial" w:cs="Arial"/>
        </w:rPr>
        <w:t xml:space="preserve">mento intruso en un medio, que se puede ver y que se mantiene en su estado original, por el contrario, las tecnologías se han integrado, inmiscuido y mezclado con la cultura de forma que es imposible </w:t>
      </w:r>
      <w:r w:rsidR="00DD472D" w:rsidRPr="00AE781E">
        <w:rPr>
          <w:rFonts w:ascii="Arial" w:hAnsi="Arial" w:cs="Arial"/>
        </w:rPr>
        <w:t>separar la mezcla, de aquí que advierta la especial importancia que se le debe poner a aquellos que se dedican a la innovación tecnológica ya que se vuelven ‘tomadores de riesgos’.</w:t>
      </w:r>
      <w:r w:rsidRPr="00AE781E">
        <w:t xml:space="preserve"> </w:t>
      </w:r>
    </w:p>
    <w:p w:rsidR="00FB0E5F" w:rsidRPr="00AE781E" w:rsidRDefault="00FB0E5F" w:rsidP="0017315B">
      <w:pPr>
        <w:jc w:val="both"/>
        <w:rPr>
          <w:rFonts w:ascii="Arial" w:hAnsi="Arial" w:cs="Arial"/>
        </w:rPr>
      </w:pPr>
      <w:r w:rsidRPr="00AE781E">
        <w:rPr>
          <w:rFonts w:ascii="Arial" w:hAnsi="Arial" w:cs="Arial"/>
        </w:rPr>
        <w:t xml:space="preserve">La quinta tesis sugiere que los medios de comunicación se vuelven en míticos, </w:t>
      </w:r>
      <w:r w:rsidR="00A26876" w:rsidRPr="00AE781E">
        <w:rPr>
          <w:rFonts w:ascii="Arial" w:hAnsi="Arial" w:cs="Arial"/>
        </w:rPr>
        <w:t xml:space="preserve">es decir, </w:t>
      </w:r>
      <w:r w:rsidR="00C236BD" w:rsidRPr="00AE781E">
        <w:rPr>
          <w:rFonts w:ascii="Arial" w:hAnsi="Arial" w:cs="Arial"/>
        </w:rPr>
        <w:t>se perciben como “parte del orden natural de las cosas” no como resultado de los múltiples procesos de contradicción: tesis, síntesis, antítesis propios de los diversos contextos históricos y sociales.</w:t>
      </w:r>
      <w:r w:rsidR="000268C9" w:rsidRPr="00AE781E">
        <w:rPr>
          <w:rFonts w:ascii="Arial" w:hAnsi="Arial" w:cs="Arial"/>
        </w:rPr>
        <w:t xml:space="preserve"> El problema en sí mismo con lo anterior no es la imposibilidad de reconocer el origen, sino como bien denu</w:t>
      </w:r>
      <w:r w:rsidR="00A74AC0" w:rsidRPr="00AE781E">
        <w:rPr>
          <w:rFonts w:ascii="Arial" w:hAnsi="Arial" w:cs="Arial"/>
        </w:rPr>
        <w:t>n</w:t>
      </w:r>
      <w:r w:rsidR="000268C9" w:rsidRPr="00AE781E">
        <w:rPr>
          <w:rFonts w:ascii="Arial" w:hAnsi="Arial" w:cs="Arial"/>
        </w:rPr>
        <w:t xml:space="preserve">cia </w:t>
      </w:r>
      <w:proofErr w:type="spellStart"/>
      <w:r w:rsidR="000268C9" w:rsidRPr="00AE781E">
        <w:rPr>
          <w:rFonts w:ascii="Arial" w:hAnsi="Arial" w:cs="Arial"/>
        </w:rPr>
        <w:t>Postman</w:t>
      </w:r>
      <w:proofErr w:type="spellEnd"/>
      <w:r w:rsidR="000268C9" w:rsidRPr="00AE781E">
        <w:rPr>
          <w:rFonts w:ascii="Arial" w:hAnsi="Arial" w:cs="Arial"/>
        </w:rPr>
        <w:t xml:space="preserve"> la posibilidad de caer en el fanatismo, o ‘idolatría’ con respecto al avance científico. </w:t>
      </w:r>
      <w:r w:rsidR="00A74AC0" w:rsidRPr="00AE781E">
        <w:rPr>
          <w:rFonts w:ascii="Arial" w:hAnsi="Arial" w:cs="Arial"/>
        </w:rPr>
        <w:t xml:space="preserve">En un escrito publicado en la revista </w:t>
      </w:r>
      <w:r w:rsidR="00977AAE" w:rsidRPr="00AE781E">
        <w:rPr>
          <w:rFonts w:ascii="Arial" w:hAnsi="Arial" w:cs="Arial"/>
        </w:rPr>
        <w:t xml:space="preserve">New </w:t>
      </w:r>
      <w:proofErr w:type="spellStart"/>
      <w:r w:rsidR="00977AAE" w:rsidRPr="00AE781E">
        <w:rPr>
          <w:rFonts w:ascii="Arial" w:hAnsi="Arial" w:cs="Arial"/>
        </w:rPr>
        <w:t>Republic</w:t>
      </w:r>
      <w:proofErr w:type="spellEnd"/>
      <w:r w:rsidR="00977AAE" w:rsidRPr="00AE781E">
        <w:rPr>
          <w:rFonts w:ascii="Arial" w:hAnsi="Arial" w:cs="Arial"/>
        </w:rPr>
        <w:t xml:space="preserve">, Steven </w:t>
      </w:r>
      <w:proofErr w:type="spellStart"/>
      <w:r w:rsidR="00977AAE" w:rsidRPr="00AE781E">
        <w:rPr>
          <w:rFonts w:ascii="Arial" w:hAnsi="Arial" w:cs="Arial"/>
        </w:rPr>
        <w:t>Pinker</w:t>
      </w:r>
      <w:proofErr w:type="spellEnd"/>
      <w:r w:rsidR="00977AAE" w:rsidRPr="00AE781E">
        <w:rPr>
          <w:rFonts w:ascii="Arial" w:hAnsi="Arial" w:cs="Arial"/>
        </w:rPr>
        <w:t xml:space="preserve"> precisamente apuntalaba esta forma de idolatría al hablar de un nuevo ‘</w:t>
      </w:r>
      <w:proofErr w:type="spellStart"/>
      <w:r w:rsidR="00076EBA" w:rsidRPr="00AE781E">
        <w:rPr>
          <w:rFonts w:ascii="Arial" w:hAnsi="Arial" w:cs="Arial"/>
        </w:rPr>
        <w:t>scientism</w:t>
      </w:r>
      <w:proofErr w:type="spellEnd"/>
      <w:r w:rsidR="00076EBA" w:rsidRPr="00AE781E">
        <w:rPr>
          <w:rFonts w:ascii="Arial" w:hAnsi="Arial" w:cs="Arial"/>
        </w:rPr>
        <w:t xml:space="preserve"> (cientificismo)</w:t>
      </w:r>
      <w:r w:rsidR="00977AAE" w:rsidRPr="00AE781E">
        <w:rPr>
          <w:rFonts w:ascii="Arial" w:hAnsi="Arial" w:cs="Arial"/>
        </w:rPr>
        <w:t>’</w:t>
      </w:r>
      <w:r w:rsidR="00076EBA" w:rsidRPr="00AE781E">
        <w:rPr>
          <w:rFonts w:ascii="Arial" w:hAnsi="Arial" w:cs="Arial"/>
        </w:rPr>
        <w:t xml:space="preserve"> en el cual debemos ser cautelosos al referirnos a la tecnología y ciencia como la respuesta y comprensión  del mundo que nos rodea. </w:t>
      </w:r>
    </w:p>
    <w:p w:rsidR="000925A5" w:rsidRPr="00AE781E" w:rsidRDefault="000925A5" w:rsidP="0017315B">
      <w:pPr>
        <w:jc w:val="both"/>
        <w:rPr>
          <w:rFonts w:ascii="Arial" w:hAnsi="Arial" w:cs="Arial"/>
        </w:rPr>
      </w:pPr>
      <w:r w:rsidRPr="00AE781E">
        <w:rPr>
          <w:rFonts w:ascii="Arial" w:hAnsi="Arial" w:cs="Arial"/>
        </w:rPr>
        <w:t>A manera de conclusión, el texto podría resumirse en una cita de Sartori “</w:t>
      </w:r>
      <w:r w:rsidRPr="00AE781E">
        <w:rPr>
          <w:rFonts w:ascii="Arial" w:hAnsi="Arial" w:cs="Arial"/>
          <w:i/>
        </w:rPr>
        <w:t>Damos por descontado que todo progreso tecnológico es, por definición, un progreso. Sí y no. Depende de que entendamos por progreso. Por sí mismo, progresar es sólo ‘ir hacia delante’ y esto comparta un crecimiento. Y no está claro que este aumento tenga que ser positivo</w:t>
      </w:r>
      <w:r w:rsidRPr="00AE781E">
        <w:rPr>
          <w:rFonts w:ascii="Arial" w:hAnsi="Arial" w:cs="Arial"/>
        </w:rPr>
        <w:t>”  (Sartori,</w:t>
      </w:r>
      <w:r w:rsidR="00234B94" w:rsidRPr="00AE781E">
        <w:rPr>
          <w:rFonts w:ascii="Arial" w:hAnsi="Arial" w:cs="Arial"/>
        </w:rPr>
        <w:t xml:space="preserve"> 2001,</w:t>
      </w:r>
      <w:r w:rsidRPr="00AE781E">
        <w:rPr>
          <w:rFonts w:ascii="Arial" w:hAnsi="Arial" w:cs="Arial"/>
        </w:rPr>
        <w:t xml:space="preserve"> p. 45)</w:t>
      </w:r>
    </w:p>
    <w:p w:rsidR="008D14BE" w:rsidRDefault="008D14BE" w:rsidP="00301C45">
      <w:pPr>
        <w:jc w:val="center"/>
        <w:rPr>
          <w:rFonts w:ascii="Arial" w:hAnsi="Arial" w:cs="Arial"/>
          <w:b/>
        </w:rPr>
      </w:pPr>
    </w:p>
    <w:p w:rsidR="008712C1" w:rsidRPr="00AE781E" w:rsidRDefault="004C470D" w:rsidP="00301C45">
      <w:pPr>
        <w:jc w:val="center"/>
        <w:rPr>
          <w:rFonts w:ascii="Arial" w:hAnsi="Arial" w:cs="Arial"/>
          <w:b/>
        </w:rPr>
      </w:pPr>
      <w:r w:rsidRPr="00AE781E">
        <w:rPr>
          <w:rFonts w:ascii="Arial" w:hAnsi="Arial" w:cs="Arial"/>
          <w:b/>
        </w:rPr>
        <w:t>REFERENCIAS</w:t>
      </w:r>
    </w:p>
    <w:p w:rsidR="00301C45" w:rsidRPr="00AE781E" w:rsidRDefault="00301C45" w:rsidP="00301C45">
      <w:pPr>
        <w:pStyle w:val="Prrafodelista"/>
        <w:numPr>
          <w:ilvl w:val="0"/>
          <w:numId w:val="1"/>
        </w:numPr>
        <w:jc w:val="both"/>
        <w:rPr>
          <w:rFonts w:ascii="Arial" w:hAnsi="Arial" w:cs="Arial"/>
        </w:rPr>
      </w:pPr>
      <w:r w:rsidRPr="00AE781E">
        <w:rPr>
          <w:rFonts w:ascii="Arial" w:hAnsi="Arial" w:cs="Arial"/>
        </w:rPr>
        <w:t xml:space="preserve">Alonso </w:t>
      </w:r>
      <w:proofErr w:type="spellStart"/>
      <w:r w:rsidRPr="00AE781E">
        <w:rPr>
          <w:rFonts w:ascii="Arial" w:hAnsi="Arial" w:cs="Arial"/>
        </w:rPr>
        <w:t>Puelles</w:t>
      </w:r>
      <w:proofErr w:type="spellEnd"/>
      <w:r w:rsidRPr="00AE781E">
        <w:rPr>
          <w:rFonts w:ascii="Arial" w:hAnsi="Arial" w:cs="Arial"/>
        </w:rPr>
        <w:t xml:space="preserve">, A., </w:t>
      </w:r>
      <w:proofErr w:type="spellStart"/>
      <w:r w:rsidRPr="00AE781E">
        <w:rPr>
          <w:rFonts w:ascii="Arial" w:hAnsi="Arial" w:cs="Arial"/>
        </w:rPr>
        <w:t>Ayestán</w:t>
      </w:r>
      <w:proofErr w:type="spellEnd"/>
      <w:r w:rsidRPr="00AE781E">
        <w:rPr>
          <w:rFonts w:ascii="Arial" w:hAnsi="Arial" w:cs="Arial"/>
        </w:rPr>
        <w:t xml:space="preserve">, I. y </w:t>
      </w:r>
      <w:proofErr w:type="spellStart"/>
      <w:r w:rsidRPr="00AE781E">
        <w:rPr>
          <w:rFonts w:ascii="Arial" w:hAnsi="Arial" w:cs="Arial"/>
        </w:rPr>
        <w:t>Ursua</w:t>
      </w:r>
      <w:proofErr w:type="spellEnd"/>
      <w:r w:rsidRPr="00AE781E">
        <w:rPr>
          <w:rFonts w:ascii="Arial" w:hAnsi="Arial" w:cs="Arial"/>
        </w:rPr>
        <w:t xml:space="preserve"> N. (1995). Riesgos y beneficios sociales del desarrollo tecnológico en </w:t>
      </w:r>
      <w:r w:rsidRPr="00AE781E">
        <w:rPr>
          <w:rFonts w:ascii="Arial" w:hAnsi="Arial" w:cs="Arial"/>
        </w:rPr>
        <w:t>Cuadernos de Sección. Ciencias Sociales y Económicas 2. p. 9-17</w:t>
      </w:r>
      <w:r w:rsidRPr="00AE781E">
        <w:rPr>
          <w:rFonts w:ascii="Arial" w:hAnsi="Arial" w:cs="Arial"/>
        </w:rPr>
        <w:t xml:space="preserve"> Recuperado de Internet el 15 de septiembre de 2014 de: </w:t>
      </w:r>
      <w:hyperlink r:id="rId11" w:history="1">
        <w:r w:rsidRPr="00AE781E">
          <w:rPr>
            <w:rStyle w:val="Hipervnculo"/>
            <w:rFonts w:ascii="Arial" w:hAnsi="Arial" w:cs="Arial"/>
          </w:rPr>
          <w:t>http://www.euskomedia.org/PDFAnlt/azkoaga/02/02009017.pdf</w:t>
        </w:r>
      </w:hyperlink>
    </w:p>
    <w:p w:rsidR="00301C45" w:rsidRPr="00AE781E" w:rsidRDefault="00301C45" w:rsidP="00301C45">
      <w:pPr>
        <w:pStyle w:val="Prrafodelista"/>
        <w:jc w:val="both"/>
        <w:rPr>
          <w:rFonts w:ascii="Arial" w:hAnsi="Arial" w:cs="Arial"/>
        </w:rPr>
      </w:pPr>
    </w:p>
    <w:p w:rsidR="00301C45" w:rsidRPr="00AE781E" w:rsidRDefault="00301C45" w:rsidP="00301C45">
      <w:pPr>
        <w:pStyle w:val="Prrafodelista"/>
        <w:numPr>
          <w:ilvl w:val="0"/>
          <w:numId w:val="1"/>
        </w:numPr>
        <w:jc w:val="both"/>
        <w:rPr>
          <w:rFonts w:ascii="Arial" w:hAnsi="Arial" w:cs="Arial"/>
        </w:rPr>
      </w:pPr>
      <w:proofErr w:type="spellStart"/>
      <w:r w:rsidRPr="00AE781E">
        <w:rPr>
          <w:rFonts w:ascii="Arial" w:hAnsi="Arial" w:cs="Arial"/>
        </w:rPr>
        <w:t>Mattelart</w:t>
      </w:r>
      <w:proofErr w:type="spellEnd"/>
      <w:r w:rsidRPr="00AE781E">
        <w:rPr>
          <w:rFonts w:ascii="Arial" w:hAnsi="Arial" w:cs="Arial"/>
        </w:rPr>
        <w:t>, A. (2002). Historia de la sociedad de la información. Paidós: Barcelona</w:t>
      </w:r>
    </w:p>
    <w:p w:rsidR="00301C45" w:rsidRPr="00AE781E" w:rsidRDefault="00301C45" w:rsidP="00301C45">
      <w:pPr>
        <w:pStyle w:val="Prrafodelista"/>
        <w:rPr>
          <w:rFonts w:ascii="Arial" w:hAnsi="Arial" w:cs="Arial"/>
        </w:rPr>
      </w:pPr>
    </w:p>
    <w:p w:rsidR="00301C45" w:rsidRPr="00AE781E" w:rsidRDefault="00301C45" w:rsidP="00301C45">
      <w:pPr>
        <w:pStyle w:val="Prrafodelista"/>
        <w:numPr>
          <w:ilvl w:val="0"/>
          <w:numId w:val="1"/>
        </w:numPr>
        <w:jc w:val="both"/>
        <w:rPr>
          <w:rFonts w:ascii="Arial" w:hAnsi="Arial" w:cs="Arial"/>
        </w:rPr>
      </w:pPr>
      <w:r w:rsidRPr="00AE781E">
        <w:rPr>
          <w:rFonts w:ascii="Arial" w:hAnsi="Arial" w:cs="Arial"/>
          <w:color w:val="000000"/>
          <w:shd w:val="clear" w:color="auto" w:fill="FFFFFF"/>
          <w:lang w:val="en-US"/>
        </w:rPr>
        <w:t>Pinker, S. (2013) Science is not the enemy in New Republic. August, 6</w:t>
      </w:r>
      <w:r w:rsidRPr="00AE781E">
        <w:rPr>
          <w:rFonts w:ascii="Arial" w:hAnsi="Arial" w:cs="Arial"/>
          <w:color w:val="000000"/>
          <w:shd w:val="clear" w:color="auto" w:fill="FFFFFF"/>
          <w:vertAlign w:val="superscript"/>
          <w:lang w:val="en-US"/>
        </w:rPr>
        <w:t>th</w:t>
      </w:r>
      <w:r w:rsidRPr="00AE781E">
        <w:rPr>
          <w:rFonts w:ascii="Arial" w:hAnsi="Arial" w:cs="Arial"/>
          <w:color w:val="000000"/>
          <w:shd w:val="clear" w:color="auto" w:fill="FFFFFF"/>
          <w:lang w:val="en-US"/>
        </w:rPr>
        <w:t xml:space="preserve">. </w:t>
      </w:r>
      <w:r w:rsidRPr="00AE781E">
        <w:rPr>
          <w:rFonts w:ascii="Arial" w:hAnsi="Arial" w:cs="Arial"/>
          <w:color w:val="000000"/>
          <w:shd w:val="clear" w:color="auto" w:fill="FFFFFF"/>
        </w:rPr>
        <w:t>Recuperado de Internet el 7 de septiembre de 2014 de</w:t>
      </w:r>
      <w:r w:rsidRPr="00AE781E">
        <w:rPr>
          <w:rFonts w:ascii="Arial" w:hAnsi="Arial" w:cs="Arial"/>
          <w:color w:val="000000"/>
          <w:shd w:val="clear" w:color="auto" w:fill="FFFFFF"/>
        </w:rPr>
        <w:t>:</w:t>
      </w:r>
      <w:r w:rsidRPr="00AE781E">
        <w:rPr>
          <w:rFonts w:ascii="Arial" w:hAnsi="Arial" w:cs="Arial"/>
          <w:color w:val="000000"/>
          <w:shd w:val="clear" w:color="auto" w:fill="FFFFFF"/>
        </w:rPr>
        <w:t xml:space="preserve"> </w:t>
      </w:r>
      <w:hyperlink r:id="rId12" w:history="1">
        <w:r w:rsidRPr="00AE781E">
          <w:rPr>
            <w:rStyle w:val="Hipervnculo"/>
            <w:rFonts w:ascii="Arial" w:hAnsi="Arial" w:cs="Arial"/>
            <w:color w:val="000000"/>
            <w:shd w:val="clear" w:color="auto" w:fill="FFFFFF"/>
          </w:rPr>
          <w:t>http://www.newrepublic.com/article/114127/science-not-enemy-humanities</w:t>
        </w:r>
      </w:hyperlink>
      <w:r w:rsidRPr="00AE781E">
        <w:rPr>
          <w:rFonts w:ascii="Arial" w:hAnsi="Arial" w:cs="Arial"/>
        </w:rPr>
        <w:t xml:space="preserve"> </w:t>
      </w:r>
    </w:p>
    <w:p w:rsidR="00301C45" w:rsidRPr="00AE781E" w:rsidRDefault="00301C45" w:rsidP="00301C45">
      <w:pPr>
        <w:pStyle w:val="Prrafodelista"/>
        <w:rPr>
          <w:rFonts w:ascii="Arial" w:hAnsi="Arial" w:cs="Arial"/>
        </w:rPr>
      </w:pPr>
    </w:p>
    <w:p w:rsidR="00301C45" w:rsidRPr="00AE781E" w:rsidRDefault="00301C45" w:rsidP="00301C45">
      <w:pPr>
        <w:pStyle w:val="Prrafodelista"/>
        <w:numPr>
          <w:ilvl w:val="0"/>
          <w:numId w:val="1"/>
        </w:numPr>
        <w:jc w:val="both"/>
        <w:rPr>
          <w:rFonts w:ascii="Arial" w:hAnsi="Arial" w:cs="Arial"/>
        </w:rPr>
      </w:pPr>
      <w:proofErr w:type="spellStart"/>
      <w:r w:rsidRPr="00AE781E">
        <w:rPr>
          <w:rFonts w:ascii="Arial" w:hAnsi="Arial" w:cs="Arial"/>
        </w:rPr>
        <w:t>Postman</w:t>
      </w:r>
      <w:proofErr w:type="spellEnd"/>
      <w:r w:rsidRPr="00AE781E">
        <w:rPr>
          <w:rFonts w:ascii="Arial" w:hAnsi="Arial" w:cs="Arial"/>
        </w:rPr>
        <w:t xml:space="preserve">, N. (1998). Cinco cosas que necesitamos saber sobre el cambio tecnológico. Discurso pronunciado en el </w:t>
      </w:r>
      <w:r w:rsidRPr="00AE781E">
        <w:rPr>
          <w:rFonts w:ascii="Arial" w:hAnsi="Arial" w:cs="Arial"/>
          <w:i/>
        </w:rPr>
        <w:t>Congreso Internacional sobre Nuevas Tecnologías y Persona Humana: Comunicando la fe en el Nuevo Milenio.</w:t>
      </w:r>
    </w:p>
    <w:p w:rsidR="00301C45" w:rsidRPr="00AE781E" w:rsidRDefault="00301C45" w:rsidP="00301C45">
      <w:pPr>
        <w:pStyle w:val="Prrafodelista"/>
        <w:rPr>
          <w:rFonts w:ascii="Arial" w:hAnsi="Arial" w:cs="Arial"/>
        </w:rPr>
      </w:pPr>
    </w:p>
    <w:p w:rsidR="00460DFE" w:rsidRPr="00AE781E" w:rsidRDefault="00301C45" w:rsidP="0017315B">
      <w:pPr>
        <w:pStyle w:val="Prrafodelista"/>
        <w:numPr>
          <w:ilvl w:val="0"/>
          <w:numId w:val="1"/>
        </w:numPr>
        <w:jc w:val="both"/>
      </w:pPr>
      <w:r w:rsidRPr="008D14BE">
        <w:rPr>
          <w:rFonts w:ascii="Arial" w:hAnsi="Arial" w:cs="Arial"/>
        </w:rPr>
        <w:t>Sartori, G. (2001). Homo Videns. La sociedad teledirigida. Taurus: México</w:t>
      </w:r>
    </w:p>
    <w:sectPr w:rsidR="00460DFE" w:rsidRPr="00AE781E">
      <w:head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14BE" w:rsidRDefault="008D14BE" w:rsidP="008D14BE">
      <w:pPr>
        <w:spacing w:after="0" w:line="240" w:lineRule="auto"/>
      </w:pPr>
      <w:r>
        <w:separator/>
      </w:r>
    </w:p>
  </w:endnote>
  <w:endnote w:type="continuationSeparator" w:id="0">
    <w:p w:rsidR="008D14BE" w:rsidRDefault="008D14BE" w:rsidP="008D14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14BE" w:rsidRDefault="008D14BE" w:rsidP="008D14BE">
      <w:pPr>
        <w:spacing w:after="0" w:line="240" w:lineRule="auto"/>
      </w:pPr>
      <w:r>
        <w:separator/>
      </w:r>
    </w:p>
  </w:footnote>
  <w:footnote w:type="continuationSeparator" w:id="0">
    <w:p w:rsidR="008D14BE" w:rsidRDefault="008D14BE" w:rsidP="008D14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1152" w:type="dxa"/>
      <w:tblLook w:val="01E0" w:firstRow="1" w:lastRow="1" w:firstColumn="1" w:lastColumn="1" w:noHBand="0" w:noVBand="0"/>
    </w:tblPr>
    <w:tblGrid>
      <w:gridCol w:w="6828"/>
      <w:gridCol w:w="2226"/>
    </w:tblGrid>
    <w:tr w:rsidR="008D14BE" w:rsidTr="005716F7">
      <w:tc>
        <w:tcPr>
          <w:tcW w:w="0" w:type="auto"/>
          <w:tcBorders>
            <w:right w:val="single" w:sz="6" w:space="0" w:color="000000" w:themeColor="text1"/>
          </w:tcBorders>
        </w:tcPr>
        <w:p w:rsidR="008D14BE" w:rsidRDefault="008D14BE" w:rsidP="005716F7">
          <w:pPr>
            <w:pStyle w:val="Encabezado"/>
            <w:jc w:val="right"/>
            <w:rPr>
              <w:b/>
              <w:bCs/>
            </w:rPr>
          </w:pPr>
          <w:r>
            <w:rPr>
              <w:b/>
              <w:bCs/>
            </w:rPr>
            <w:t>Tecnologías de la Información y Comunicación</w:t>
          </w:r>
        </w:p>
        <w:p w:rsidR="008D14BE" w:rsidRPr="0076672E" w:rsidRDefault="008D14BE" w:rsidP="005716F7">
          <w:pPr>
            <w:jc w:val="right"/>
          </w:pPr>
          <w:r>
            <w:t xml:space="preserve">Claudia Lucia </w:t>
          </w:r>
          <w:proofErr w:type="spellStart"/>
          <w:r>
            <w:t>Benhumea</w:t>
          </w:r>
          <w:proofErr w:type="spellEnd"/>
          <w:r>
            <w:t xml:space="preserve"> Rodríguez</w:t>
          </w:r>
        </w:p>
      </w:tc>
      <w:tc>
        <w:tcPr>
          <w:tcW w:w="1152" w:type="dxa"/>
          <w:tcBorders>
            <w:left w:val="single" w:sz="6" w:space="0" w:color="000000" w:themeColor="text1"/>
          </w:tcBorders>
        </w:tcPr>
        <w:p w:rsidR="008D14BE" w:rsidRDefault="008D14BE" w:rsidP="005716F7">
          <w:pPr>
            <w:pStyle w:val="Encabezado"/>
            <w:rPr>
              <w:b/>
              <w:bCs/>
            </w:rPr>
          </w:pPr>
          <w:r w:rsidRPr="004D3CCB">
            <w:rPr>
              <w:rFonts w:ascii="Arial" w:hAnsi="Arial" w:cs="Arial"/>
              <w:noProof/>
              <w:lang w:eastAsia="es-MX"/>
            </w:rPr>
            <w:drawing>
              <wp:inline distT="0" distB="0" distL="0" distR="0" wp14:anchorId="493A4B98" wp14:editId="5C72EB25">
                <wp:extent cx="1273628" cy="609600"/>
                <wp:effectExtent l="0" t="0" r="317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cstate="print">
                          <a:extLst>
                            <a:ext uri="{28A0092B-C50C-407E-A947-70E740481C1C}">
                              <a14:useLocalDpi xmlns:a14="http://schemas.microsoft.com/office/drawing/2010/main" val="0"/>
                            </a:ext>
                          </a:extLst>
                        </a:blip>
                        <a:srcRect l="30743" t="20908" r="29445" b="45088"/>
                        <a:stretch>
                          <a:fillRect/>
                        </a:stretch>
                      </pic:blipFill>
                      <pic:spPr bwMode="auto">
                        <a:xfrm>
                          <a:off x="0" y="0"/>
                          <a:ext cx="1271874" cy="608760"/>
                        </a:xfrm>
                        <a:prstGeom prst="rect">
                          <a:avLst/>
                        </a:prstGeom>
                        <a:noFill/>
                        <a:ln>
                          <a:noFill/>
                        </a:ln>
                      </pic:spPr>
                    </pic:pic>
                  </a:graphicData>
                </a:graphic>
              </wp:inline>
            </w:drawing>
          </w:r>
        </w:p>
      </w:tc>
    </w:tr>
  </w:tbl>
  <w:p w:rsidR="008D14BE" w:rsidRDefault="008D14B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3D72AE"/>
    <w:multiLevelType w:val="hybridMultilevel"/>
    <w:tmpl w:val="9DAE97D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493D"/>
    <w:rsid w:val="000268C9"/>
    <w:rsid w:val="00062710"/>
    <w:rsid w:val="00076EBA"/>
    <w:rsid w:val="000925A5"/>
    <w:rsid w:val="000A08D9"/>
    <w:rsid w:val="00147473"/>
    <w:rsid w:val="0015330F"/>
    <w:rsid w:val="0017315B"/>
    <w:rsid w:val="00180E2C"/>
    <w:rsid w:val="00234B94"/>
    <w:rsid w:val="0028493D"/>
    <w:rsid w:val="002E18A5"/>
    <w:rsid w:val="002F3796"/>
    <w:rsid w:val="00301C45"/>
    <w:rsid w:val="00320784"/>
    <w:rsid w:val="00356F8C"/>
    <w:rsid w:val="003913B2"/>
    <w:rsid w:val="00394A20"/>
    <w:rsid w:val="00450CBB"/>
    <w:rsid w:val="00460DFE"/>
    <w:rsid w:val="004B6855"/>
    <w:rsid w:val="004C470D"/>
    <w:rsid w:val="00502F7A"/>
    <w:rsid w:val="005405A8"/>
    <w:rsid w:val="00596B9C"/>
    <w:rsid w:val="00661358"/>
    <w:rsid w:val="006B5F7C"/>
    <w:rsid w:val="006F2C7A"/>
    <w:rsid w:val="00713E2B"/>
    <w:rsid w:val="007263FE"/>
    <w:rsid w:val="00776196"/>
    <w:rsid w:val="00827312"/>
    <w:rsid w:val="008712C1"/>
    <w:rsid w:val="008A2EE4"/>
    <w:rsid w:val="008B5CD1"/>
    <w:rsid w:val="008C6012"/>
    <w:rsid w:val="008D14BE"/>
    <w:rsid w:val="00914B7F"/>
    <w:rsid w:val="00977AAE"/>
    <w:rsid w:val="009A0CFD"/>
    <w:rsid w:val="009D7DFC"/>
    <w:rsid w:val="00A26876"/>
    <w:rsid w:val="00A74AC0"/>
    <w:rsid w:val="00AE781E"/>
    <w:rsid w:val="00B02B85"/>
    <w:rsid w:val="00B67F81"/>
    <w:rsid w:val="00C236BD"/>
    <w:rsid w:val="00CE36E3"/>
    <w:rsid w:val="00CF07FC"/>
    <w:rsid w:val="00D309A8"/>
    <w:rsid w:val="00DD472D"/>
    <w:rsid w:val="00E30AB6"/>
    <w:rsid w:val="00EC0858"/>
    <w:rsid w:val="00ED0CC4"/>
    <w:rsid w:val="00F35ED4"/>
    <w:rsid w:val="00F60E89"/>
    <w:rsid w:val="00FA5E33"/>
    <w:rsid w:val="00FB0E5F"/>
    <w:rsid w:val="00FB724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460DF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5330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5330F"/>
    <w:rPr>
      <w:rFonts w:ascii="Tahoma" w:hAnsi="Tahoma" w:cs="Tahoma"/>
      <w:sz w:val="16"/>
      <w:szCs w:val="16"/>
    </w:rPr>
  </w:style>
  <w:style w:type="character" w:customStyle="1" w:styleId="Ttulo1Car">
    <w:name w:val="Título 1 Car"/>
    <w:basedOn w:val="Fuentedeprrafopredeter"/>
    <w:link w:val="Ttulo1"/>
    <w:uiPriority w:val="9"/>
    <w:rsid w:val="00460DFE"/>
    <w:rPr>
      <w:rFonts w:ascii="Times New Roman" w:eastAsia="Times New Roman" w:hAnsi="Times New Roman" w:cs="Times New Roman"/>
      <w:b/>
      <w:bCs/>
      <w:kern w:val="36"/>
      <w:sz w:val="48"/>
      <w:szCs w:val="48"/>
      <w:lang w:eastAsia="es-MX"/>
    </w:rPr>
  </w:style>
  <w:style w:type="character" w:styleId="Hipervnculo">
    <w:name w:val="Hyperlink"/>
    <w:basedOn w:val="Fuentedeprrafopredeter"/>
    <w:uiPriority w:val="99"/>
    <w:unhideWhenUsed/>
    <w:rsid w:val="002E18A5"/>
    <w:rPr>
      <w:color w:val="0563C1" w:themeColor="hyperlink"/>
      <w:u w:val="single"/>
    </w:rPr>
  </w:style>
  <w:style w:type="paragraph" w:styleId="Prrafodelista">
    <w:name w:val="List Paragraph"/>
    <w:basedOn w:val="Normal"/>
    <w:uiPriority w:val="34"/>
    <w:qFormat/>
    <w:rsid w:val="00301C45"/>
    <w:pPr>
      <w:ind w:left="720"/>
      <w:contextualSpacing/>
    </w:pPr>
  </w:style>
  <w:style w:type="paragraph" w:styleId="Encabezado">
    <w:name w:val="header"/>
    <w:basedOn w:val="Normal"/>
    <w:link w:val="EncabezadoCar"/>
    <w:uiPriority w:val="99"/>
    <w:unhideWhenUsed/>
    <w:rsid w:val="008D14B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D14BE"/>
  </w:style>
  <w:style w:type="paragraph" w:styleId="Piedepgina">
    <w:name w:val="footer"/>
    <w:basedOn w:val="Normal"/>
    <w:link w:val="PiedepginaCar"/>
    <w:uiPriority w:val="99"/>
    <w:unhideWhenUsed/>
    <w:rsid w:val="008D14B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D14B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460DF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5330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5330F"/>
    <w:rPr>
      <w:rFonts w:ascii="Tahoma" w:hAnsi="Tahoma" w:cs="Tahoma"/>
      <w:sz w:val="16"/>
      <w:szCs w:val="16"/>
    </w:rPr>
  </w:style>
  <w:style w:type="character" w:customStyle="1" w:styleId="Ttulo1Car">
    <w:name w:val="Título 1 Car"/>
    <w:basedOn w:val="Fuentedeprrafopredeter"/>
    <w:link w:val="Ttulo1"/>
    <w:uiPriority w:val="9"/>
    <w:rsid w:val="00460DFE"/>
    <w:rPr>
      <w:rFonts w:ascii="Times New Roman" w:eastAsia="Times New Roman" w:hAnsi="Times New Roman" w:cs="Times New Roman"/>
      <w:b/>
      <w:bCs/>
      <w:kern w:val="36"/>
      <w:sz w:val="48"/>
      <w:szCs w:val="48"/>
      <w:lang w:eastAsia="es-MX"/>
    </w:rPr>
  </w:style>
  <w:style w:type="character" w:styleId="Hipervnculo">
    <w:name w:val="Hyperlink"/>
    <w:basedOn w:val="Fuentedeprrafopredeter"/>
    <w:uiPriority w:val="99"/>
    <w:unhideWhenUsed/>
    <w:rsid w:val="002E18A5"/>
    <w:rPr>
      <w:color w:val="0563C1" w:themeColor="hyperlink"/>
      <w:u w:val="single"/>
    </w:rPr>
  </w:style>
  <w:style w:type="paragraph" w:styleId="Prrafodelista">
    <w:name w:val="List Paragraph"/>
    <w:basedOn w:val="Normal"/>
    <w:uiPriority w:val="34"/>
    <w:qFormat/>
    <w:rsid w:val="00301C45"/>
    <w:pPr>
      <w:ind w:left="720"/>
      <w:contextualSpacing/>
    </w:pPr>
  </w:style>
  <w:style w:type="paragraph" w:styleId="Encabezado">
    <w:name w:val="header"/>
    <w:basedOn w:val="Normal"/>
    <w:link w:val="EncabezadoCar"/>
    <w:uiPriority w:val="99"/>
    <w:unhideWhenUsed/>
    <w:rsid w:val="008D14B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D14BE"/>
  </w:style>
  <w:style w:type="paragraph" w:styleId="Piedepgina">
    <w:name w:val="footer"/>
    <w:basedOn w:val="Normal"/>
    <w:link w:val="PiedepginaCar"/>
    <w:uiPriority w:val="99"/>
    <w:unhideWhenUsed/>
    <w:rsid w:val="008D14B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D14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692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newrepublic.com/article/114127/science-not-enemy-humaniti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uskomedia.org/PDFAnlt/azkoaga/02/02009017.pdf"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362489-3BAC-41B7-A173-714FC15C5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2</Pages>
  <Words>899</Words>
  <Characters>4946</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Clau</cp:lastModifiedBy>
  <cp:revision>57</cp:revision>
  <dcterms:created xsi:type="dcterms:W3CDTF">2014-09-11T20:22:00Z</dcterms:created>
  <dcterms:modified xsi:type="dcterms:W3CDTF">2014-09-16T22:13:00Z</dcterms:modified>
</cp:coreProperties>
</file>