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29A6" w:rsidRPr="003E29A6" w:rsidRDefault="003E29A6" w:rsidP="003E29A6">
      <w:pPr>
        <w:spacing w:after="0" w:line="240" w:lineRule="auto"/>
        <w:jc w:val="center"/>
        <w:rPr>
          <w:sz w:val="24"/>
          <w:szCs w:val="24"/>
        </w:rPr>
      </w:pPr>
      <w:r w:rsidRPr="003E29A6">
        <w:rPr>
          <w:sz w:val="24"/>
          <w:szCs w:val="24"/>
        </w:rPr>
        <w:t>Instituto Tecnológico y de Estudios Superiores de Monterrey</w:t>
      </w:r>
    </w:p>
    <w:p w:rsidR="003E29A6" w:rsidRPr="003E29A6" w:rsidRDefault="003E29A6" w:rsidP="003E29A6">
      <w:pPr>
        <w:spacing w:after="0" w:line="240" w:lineRule="auto"/>
        <w:jc w:val="center"/>
        <w:rPr>
          <w:sz w:val="24"/>
          <w:szCs w:val="24"/>
        </w:rPr>
      </w:pPr>
      <w:r w:rsidRPr="003E29A6">
        <w:rPr>
          <w:sz w:val="24"/>
          <w:szCs w:val="24"/>
        </w:rPr>
        <w:t>Campus Estado de México</w:t>
      </w:r>
    </w:p>
    <w:p w:rsidR="003E29A6" w:rsidRPr="003E29A6" w:rsidRDefault="003E29A6" w:rsidP="003E29A6">
      <w:pPr>
        <w:spacing w:after="0" w:line="240" w:lineRule="auto"/>
        <w:jc w:val="center"/>
        <w:rPr>
          <w:sz w:val="24"/>
          <w:szCs w:val="24"/>
        </w:rPr>
      </w:pPr>
    </w:p>
    <w:p w:rsidR="003E29A6" w:rsidRPr="003E29A6" w:rsidRDefault="003E29A6" w:rsidP="003E29A6">
      <w:pPr>
        <w:spacing w:after="0" w:line="240" w:lineRule="auto"/>
        <w:jc w:val="right"/>
        <w:rPr>
          <w:sz w:val="24"/>
          <w:szCs w:val="24"/>
        </w:rPr>
      </w:pPr>
      <w:r w:rsidRPr="003E29A6">
        <w:rPr>
          <w:sz w:val="24"/>
          <w:szCs w:val="24"/>
        </w:rPr>
        <w:t xml:space="preserve">Lourdes Estela Rojas Arrazola       </w:t>
      </w:r>
    </w:p>
    <w:p w:rsidR="003E29A6" w:rsidRPr="003E29A6" w:rsidRDefault="003E29A6" w:rsidP="003E29A6">
      <w:pPr>
        <w:spacing w:after="0" w:line="240" w:lineRule="auto"/>
        <w:jc w:val="right"/>
        <w:rPr>
          <w:sz w:val="24"/>
          <w:szCs w:val="24"/>
        </w:rPr>
      </w:pPr>
      <w:r w:rsidRPr="003E29A6">
        <w:rPr>
          <w:sz w:val="24"/>
          <w:szCs w:val="24"/>
        </w:rPr>
        <w:t>460584</w:t>
      </w:r>
    </w:p>
    <w:p w:rsidR="003E29A6" w:rsidRPr="003E29A6" w:rsidRDefault="003E29A6" w:rsidP="003E29A6">
      <w:pPr>
        <w:spacing w:after="0" w:line="240" w:lineRule="auto"/>
        <w:jc w:val="right"/>
        <w:rPr>
          <w:sz w:val="24"/>
          <w:szCs w:val="24"/>
        </w:rPr>
      </w:pPr>
      <w:r w:rsidRPr="003E29A6">
        <w:rPr>
          <w:sz w:val="24"/>
          <w:szCs w:val="24"/>
        </w:rPr>
        <w:t>05 de mayo de 2012</w:t>
      </w:r>
    </w:p>
    <w:p w:rsidR="003E29A6" w:rsidRPr="003E29A6" w:rsidRDefault="003E29A6" w:rsidP="003E29A6">
      <w:pPr>
        <w:spacing w:after="0" w:line="240" w:lineRule="auto"/>
        <w:jc w:val="right"/>
        <w:rPr>
          <w:sz w:val="24"/>
          <w:szCs w:val="24"/>
        </w:rPr>
      </w:pPr>
      <w:r w:rsidRPr="003E29A6">
        <w:rPr>
          <w:sz w:val="24"/>
          <w:szCs w:val="24"/>
        </w:rPr>
        <w:t>Comunicación organizacional</w:t>
      </w:r>
    </w:p>
    <w:p w:rsidR="003E29A6" w:rsidRPr="003E29A6" w:rsidRDefault="003E29A6" w:rsidP="003E29A6">
      <w:pPr>
        <w:spacing w:after="0" w:line="240" w:lineRule="auto"/>
        <w:jc w:val="right"/>
        <w:rPr>
          <w:sz w:val="24"/>
          <w:szCs w:val="24"/>
        </w:rPr>
      </w:pPr>
      <w:r w:rsidRPr="003E29A6">
        <w:rPr>
          <w:sz w:val="24"/>
          <w:szCs w:val="24"/>
        </w:rPr>
        <w:t>Examen- 10 ideas principales “La buena reputación”</w:t>
      </w:r>
    </w:p>
    <w:p w:rsidR="003E29A6" w:rsidRPr="003E29A6" w:rsidRDefault="003E29A6" w:rsidP="003E29A6">
      <w:pPr>
        <w:spacing w:after="0" w:line="240" w:lineRule="auto"/>
        <w:jc w:val="right"/>
        <w:rPr>
          <w:sz w:val="24"/>
          <w:szCs w:val="24"/>
        </w:rPr>
      </w:pPr>
    </w:p>
    <w:p w:rsidR="003E29A6" w:rsidRPr="003E29A6" w:rsidRDefault="003E29A6" w:rsidP="003E29A6">
      <w:pPr>
        <w:spacing w:after="0" w:line="240" w:lineRule="auto"/>
        <w:rPr>
          <w:sz w:val="24"/>
          <w:szCs w:val="24"/>
        </w:rPr>
      </w:pPr>
    </w:p>
    <w:p w:rsidR="003E29A6" w:rsidRPr="00E236EA" w:rsidRDefault="003E29A6" w:rsidP="00E236EA">
      <w:pPr>
        <w:pStyle w:val="Prrafodelista"/>
        <w:numPr>
          <w:ilvl w:val="0"/>
          <w:numId w:val="1"/>
        </w:numPr>
        <w:spacing w:after="0" w:line="240" w:lineRule="auto"/>
        <w:rPr>
          <w:b/>
          <w:color w:val="0070C0"/>
          <w:sz w:val="24"/>
          <w:szCs w:val="24"/>
        </w:rPr>
      </w:pPr>
      <w:r w:rsidRPr="00E236EA">
        <w:rPr>
          <w:b/>
          <w:color w:val="0070C0"/>
          <w:sz w:val="24"/>
          <w:szCs w:val="24"/>
        </w:rPr>
        <w:t>La importancia de la reputación en la gestión empresarial:</w:t>
      </w:r>
    </w:p>
    <w:p w:rsidR="00E236EA" w:rsidRDefault="003E29A6" w:rsidP="00E236EA">
      <w:pPr>
        <w:spacing w:after="0" w:line="240" w:lineRule="auto"/>
        <w:jc w:val="both"/>
        <w:rPr>
          <w:sz w:val="24"/>
          <w:szCs w:val="24"/>
        </w:rPr>
      </w:pPr>
      <w:r>
        <w:rPr>
          <w:sz w:val="24"/>
          <w:szCs w:val="24"/>
        </w:rPr>
        <w:t>Definitivamente la palabra reputación es un concepto totalmente nuevo o bien</w:t>
      </w:r>
      <w:r w:rsidR="00C64CD5">
        <w:rPr>
          <w:sz w:val="24"/>
          <w:szCs w:val="24"/>
        </w:rPr>
        <w:t>,</w:t>
      </w:r>
      <w:r>
        <w:rPr>
          <w:sz w:val="24"/>
          <w:szCs w:val="24"/>
        </w:rPr>
        <w:t xml:space="preserve"> confuso para muchas organizaciones en la actualidad</w:t>
      </w:r>
      <w:r w:rsidR="00C64CD5">
        <w:rPr>
          <w:sz w:val="24"/>
          <w:szCs w:val="24"/>
        </w:rPr>
        <w:t xml:space="preserve"> ya que tiende a confundirse con más conceptos tales como la identidad corporativa, imagen corporativa o incluso gobierno corporativo, por lo tanto me parece importante e interesante que el autor detalle todos estos conceptos y sus diferenciales ante la palabra “reputación” y lo que entiendo de acuerdo a la lectura realizada es que la reputación enfoca como ningún concepto dos enfoques importantes tales como la lógica transversal y la lógica marginal teniendo en cuenta variables duras y blandas para su medición. </w:t>
      </w:r>
    </w:p>
    <w:p w:rsidR="00E236EA" w:rsidRDefault="00E236EA" w:rsidP="00E236EA">
      <w:pPr>
        <w:spacing w:after="0" w:line="240" w:lineRule="auto"/>
        <w:jc w:val="both"/>
        <w:rPr>
          <w:sz w:val="24"/>
          <w:szCs w:val="24"/>
        </w:rPr>
      </w:pPr>
    </w:p>
    <w:p w:rsidR="00C64CD5" w:rsidRDefault="00C64CD5" w:rsidP="00E236EA">
      <w:pPr>
        <w:spacing w:after="0" w:line="240" w:lineRule="auto"/>
        <w:jc w:val="both"/>
        <w:rPr>
          <w:sz w:val="24"/>
          <w:szCs w:val="24"/>
        </w:rPr>
      </w:pPr>
      <w:r>
        <w:rPr>
          <w:sz w:val="24"/>
          <w:szCs w:val="24"/>
        </w:rPr>
        <w:t>La importancia de éste concepto radica en que busca una armonía impulsada por condiciones actuales de la sociedad y públicos involucrados. Hoy en día la reputación en la gestión empresarial es de vital importancia  pues en ella radica el prestigio de la empresa</w:t>
      </w:r>
      <w:r w:rsidR="00E25D91">
        <w:rPr>
          <w:sz w:val="24"/>
          <w:szCs w:val="24"/>
        </w:rPr>
        <w:t xml:space="preserve"> y la imagen que los públicos tienen de ella de acuerdo a promesas cumplidas, garantías, experiencias, etc. Es importante tomar en cuenta que es necesario realizar una gestión integrada de riesgos, exista una sensibilización organizativa, se creen redes bien establecidas de comunicación de los valores que generen reputación y se evalúe permanentemente la misma. Es por ello que al ser o buscar ser una empresa reputada se busca una base sólida en la filosofía empresarial, imagen corporativa, identidad, comunicación organizacional, etc. Pues son conceptos que integran y complementan el concepto de reputación. </w:t>
      </w:r>
    </w:p>
    <w:p w:rsidR="00E236EA" w:rsidRDefault="00E236EA" w:rsidP="00E236EA">
      <w:pPr>
        <w:spacing w:after="0" w:line="240" w:lineRule="auto"/>
        <w:jc w:val="both"/>
        <w:rPr>
          <w:sz w:val="24"/>
          <w:szCs w:val="24"/>
        </w:rPr>
      </w:pPr>
    </w:p>
    <w:p w:rsidR="00C64CD5" w:rsidRPr="00E236EA" w:rsidRDefault="00C64CD5" w:rsidP="00E236EA">
      <w:pPr>
        <w:pStyle w:val="Prrafodelista"/>
        <w:numPr>
          <w:ilvl w:val="0"/>
          <w:numId w:val="1"/>
        </w:numPr>
        <w:spacing w:after="0" w:line="240" w:lineRule="auto"/>
        <w:jc w:val="both"/>
        <w:rPr>
          <w:b/>
          <w:color w:val="0070C0"/>
          <w:sz w:val="24"/>
          <w:szCs w:val="24"/>
        </w:rPr>
      </w:pPr>
      <w:r w:rsidRPr="00E236EA">
        <w:rPr>
          <w:b/>
          <w:color w:val="0070C0"/>
          <w:sz w:val="24"/>
          <w:szCs w:val="24"/>
        </w:rPr>
        <w:t>La reputación como valor intangible</w:t>
      </w:r>
      <w:r w:rsidR="00D86C17" w:rsidRPr="00E236EA">
        <w:rPr>
          <w:b/>
          <w:color w:val="0070C0"/>
          <w:sz w:val="24"/>
          <w:szCs w:val="24"/>
        </w:rPr>
        <w:t xml:space="preserve"> y su relación con el término </w:t>
      </w:r>
      <w:proofErr w:type="spellStart"/>
      <w:r w:rsidR="00D86C17" w:rsidRPr="00E236EA">
        <w:rPr>
          <w:b/>
          <w:color w:val="0070C0"/>
          <w:sz w:val="24"/>
          <w:szCs w:val="24"/>
        </w:rPr>
        <w:t>corporate</w:t>
      </w:r>
      <w:proofErr w:type="spellEnd"/>
      <w:r w:rsidR="00D86C17" w:rsidRPr="00E236EA">
        <w:rPr>
          <w:b/>
          <w:color w:val="0070C0"/>
          <w:sz w:val="24"/>
          <w:szCs w:val="24"/>
        </w:rPr>
        <w:t>:</w:t>
      </w:r>
    </w:p>
    <w:p w:rsidR="00030681" w:rsidRDefault="00D86C17" w:rsidP="00E236EA">
      <w:pPr>
        <w:spacing w:after="0" w:line="240" w:lineRule="auto"/>
        <w:jc w:val="both"/>
        <w:rPr>
          <w:sz w:val="24"/>
          <w:szCs w:val="24"/>
        </w:rPr>
      </w:pPr>
      <w:r>
        <w:rPr>
          <w:sz w:val="24"/>
          <w:szCs w:val="24"/>
        </w:rPr>
        <w:t>Es importante empezar dentro de ésta idea con un concepto totalmente nuevo para mí denominado como el “</w:t>
      </w:r>
      <w:proofErr w:type="spellStart"/>
      <w:r w:rsidRPr="00D86C17">
        <w:rPr>
          <w:sz w:val="24"/>
          <w:szCs w:val="24"/>
        </w:rPr>
        <w:t>corporate</w:t>
      </w:r>
      <w:proofErr w:type="spellEnd"/>
      <w:r>
        <w:rPr>
          <w:sz w:val="24"/>
          <w:szCs w:val="24"/>
        </w:rPr>
        <w:t>” a través del cual</w:t>
      </w:r>
      <w:r w:rsidRPr="00D86C17">
        <w:rPr>
          <w:sz w:val="24"/>
          <w:szCs w:val="24"/>
        </w:rPr>
        <w:t xml:space="preserve"> puede entenderse la gestión estratégica del conjunto de factores que influyen en la imagen de la organización. La cultura del </w:t>
      </w:r>
      <w:proofErr w:type="spellStart"/>
      <w:r w:rsidRPr="00D86C17">
        <w:rPr>
          <w:sz w:val="24"/>
          <w:szCs w:val="24"/>
        </w:rPr>
        <w:t>corporate</w:t>
      </w:r>
      <w:proofErr w:type="spellEnd"/>
      <w:r w:rsidRPr="00D86C17">
        <w:rPr>
          <w:sz w:val="24"/>
          <w:szCs w:val="24"/>
        </w:rPr>
        <w:t xml:space="preserve"> ha retomado fuerza </w:t>
      </w:r>
      <w:r>
        <w:rPr>
          <w:sz w:val="24"/>
          <w:szCs w:val="24"/>
        </w:rPr>
        <w:t xml:space="preserve">pues está </w:t>
      </w:r>
      <w:r w:rsidRPr="00D86C17">
        <w:rPr>
          <w:sz w:val="24"/>
          <w:szCs w:val="24"/>
        </w:rPr>
        <w:t>basado en criterios estratégicos</w:t>
      </w:r>
      <w:r>
        <w:rPr>
          <w:sz w:val="24"/>
          <w:szCs w:val="24"/>
        </w:rPr>
        <w:t>.</w:t>
      </w:r>
      <w:r w:rsidRPr="00D86C17">
        <w:rPr>
          <w:sz w:val="24"/>
          <w:szCs w:val="24"/>
        </w:rPr>
        <w:t xml:space="preserve"> De esta manera, la reputación se vuelve la expresión del mayor valor intangible dentro de una organización al conjuntar los elementos blandos y duros, convirtiéndose en el fruto de buenos resultados económicos y de un comportamiento socialmente responsable.</w:t>
      </w:r>
      <w:r>
        <w:rPr>
          <w:sz w:val="24"/>
          <w:szCs w:val="24"/>
        </w:rPr>
        <w:t xml:space="preserve"> Es importante mencionar que a</w:t>
      </w:r>
      <w:r w:rsidRPr="00D86C17">
        <w:rPr>
          <w:sz w:val="24"/>
          <w:szCs w:val="24"/>
        </w:rPr>
        <w:t xml:space="preserve">nteriormente la misión del </w:t>
      </w:r>
      <w:proofErr w:type="spellStart"/>
      <w:r w:rsidRPr="00D86C17">
        <w:rPr>
          <w:sz w:val="24"/>
          <w:szCs w:val="24"/>
        </w:rPr>
        <w:t>corporate</w:t>
      </w:r>
      <w:proofErr w:type="spellEnd"/>
      <w:r w:rsidRPr="00D86C17">
        <w:rPr>
          <w:sz w:val="24"/>
          <w:szCs w:val="24"/>
        </w:rPr>
        <w:t xml:space="preserve"> se enfocaba al logro de una imagen positiva valiéndose de la comunicación, mientras que ahora la prioridad es la gestión de los intangibles empresari</w:t>
      </w:r>
      <w:r>
        <w:rPr>
          <w:sz w:val="24"/>
          <w:szCs w:val="24"/>
        </w:rPr>
        <w:t>ales como lo son la rep</w:t>
      </w:r>
      <w:r w:rsidR="00E236EA">
        <w:rPr>
          <w:sz w:val="24"/>
          <w:szCs w:val="24"/>
        </w:rPr>
        <w:t>u</w:t>
      </w:r>
      <w:r>
        <w:rPr>
          <w:sz w:val="24"/>
          <w:szCs w:val="24"/>
        </w:rPr>
        <w:t>tación</w:t>
      </w:r>
      <w:r w:rsidR="00E236EA">
        <w:rPr>
          <w:sz w:val="24"/>
          <w:szCs w:val="24"/>
        </w:rPr>
        <w:t>.</w:t>
      </w:r>
    </w:p>
    <w:p w:rsidR="00E236EA" w:rsidRDefault="00E236EA" w:rsidP="00E236EA">
      <w:pPr>
        <w:spacing w:after="0" w:line="240" w:lineRule="auto"/>
        <w:jc w:val="both"/>
        <w:rPr>
          <w:sz w:val="24"/>
          <w:szCs w:val="24"/>
        </w:rPr>
      </w:pPr>
    </w:p>
    <w:p w:rsidR="00030681" w:rsidRPr="00E236EA" w:rsidRDefault="00030681" w:rsidP="00E236EA">
      <w:pPr>
        <w:pStyle w:val="Prrafodelista"/>
        <w:numPr>
          <w:ilvl w:val="0"/>
          <w:numId w:val="1"/>
        </w:numPr>
        <w:spacing w:after="0" w:line="240" w:lineRule="auto"/>
        <w:jc w:val="both"/>
        <w:rPr>
          <w:b/>
          <w:color w:val="0070C0"/>
          <w:sz w:val="24"/>
          <w:szCs w:val="24"/>
        </w:rPr>
      </w:pPr>
      <w:r w:rsidRPr="00E236EA">
        <w:rPr>
          <w:b/>
          <w:color w:val="0070C0"/>
          <w:sz w:val="24"/>
          <w:szCs w:val="24"/>
        </w:rPr>
        <w:lastRenderedPageBreak/>
        <w:t>Diferenciales entre imagen corporativa y reputación corporativa</w:t>
      </w:r>
    </w:p>
    <w:p w:rsidR="00E236EA" w:rsidRDefault="00F8688E" w:rsidP="00B33E0D">
      <w:pPr>
        <w:pStyle w:val="Textoindependiente"/>
        <w:rPr>
          <w:rFonts w:asciiTheme="minorHAnsi" w:eastAsiaTheme="minorHAnsi" w:hAnsiTheme="minorHAnsi" w:cstheme="minorBidi"/>
        </w:rPr>
      </w:pPr>
      <w:r>
        <w:rPr>
          <w:rFonts w:asciiTheme="minorHAnsi" w:eastAsiaTheme="minorHAnsi" w:hAnsiTheme="minorHAnsi" w:cstheme="minorBidi"/>
        </w:rPr>
        <w:t xml:space="preserve">Se menciona que </w:t>
      </w:r>
      <w:r w:rsidR="00030681" w:rsidRPr="00F8688E">
        <w:rPr>
          <w:rFonts w:asciiTheme="minorHAnsi" w:eastAsiaTheme="minorHAnsi" w:hAnsiTheme="minorHAnsi" w:cstheme="minorBidi"/>
        </w:rPr>
        <w:t xml:space="preserve">la imagen y la reputación </w:t>
      </w:r>
      <w:r>
        <w:rPr>
          <w:rFonts w:asciiTheme="minorHAnsi" w:eastAsiaTheme="minorHAnsi" w:hAnsiTheme="minorHAnsi" w:cstheme="minorBidi"/>
        </w:rPr>
        <w:t>son parte de una</w:t>
      </w:r>
      <w:r w:rsidR="00030681" w:rsidRPr="00F8688E">
        <w:rPr>
          <w:rFonts w:asciiTheme="minorHAnsi" w:eastAsiaTheme="minorHAnsi" w:hAnsiTheme="minorHAnsi" w:cstheme="minorBidi"/>
        </w:rPr>
        <w:t xml:space="preserve"> percepción</w:t>
      </w:r>
      <w:r>
        <w:rPr>
          <w:rFonts w:asciiTheme="minorHAnsi" w:eastAsiaTheme="minorHAnsi" w:hAnsiTheme="minorHAnsi" w:cstheme="minorBidi"/>
        </w:rPr>
        <w:t xml:space="preserve"> pública sobre una organización y la diferencia entre ambos conceptos radica en</w:t>
      </w:r>
      <w:r w:rsidR="00030681" w:rsidRPr="00F8688E">
        <w:rPr>
          <w:rFonts w:asciiTheme="minorHAnsi" w:eastAsiaTheme="minorHAnsi" w:hAnsiTheme="minorHAnsi" w:cstheme="minorBidi"/>
        </w:rPr>
        <w:t xml:space="preserve"> que la imagen</w:t>
      </w:r>
      <w:r>
        <w:rPr>
          <w:rFonts w:asciiTheme="minorHAnsi" w:eastAsiaTheme="minorHAnsi" w:hAnsiTheme="minorHAnsi" w:cstheme="minorBidi"/>
        </w:rPr>
        <w:t xml:space="preserve"> corporativa se refiere más a</w:t>
      </w:r>
      <w:r w:rsidR="00030681" w:rsidRPr="00F8688E">
        <w:rPr>
          <w:rFonts w:asciiTheme="minorHAnsi" w:eastAsiaTheme="minorHAnsi" w:hAnsiTheme="minorHAnsi" w:cstheme="minorBidi"/>
        </w:rPr>
        <w:t xml:space="preserve"> la figura mientras la reputación</w:t>
      </w:r>
      <w:r>
        <w:rPr>
          <w:rFonts w:asciiTheme="minorHAnsi" w:eastAsiaTheme="minorHAnsi" w:hAnsiTheme="minorHAnsi" w:cstheme="minorBidi"/>
        </w:rPr>
        <w:t xml:space="preserve"> corporativa</w:t>
      </w:r>
      <w:r w:rsidR="00030681" w:rsidRPr="00F8688E">
        <w:rPr>
          <w:rFonts w:asciiTheme="minorHAnsi" w:eastAsiaTheme="minorHAnsi" w:hAnsiTheme="minorHAnsi" w:cstheme="minorBidi"/>
        </w:rPr>
        <w:t xml:space="preserve"> es asociada con una imagen positiva </w:t>
      </w:r>
      <w:r>
        <w:rPr>
          <w:rFonts w:asciiTheme="minorHAnsi" w:eastAsiaTheme="minorHAnsi" w:hAnsiTheme="minorHAnsi" w:cstheme="minorBidi"/>
        </w:rPr>
        <w:t xml:space="preserve">y </w:t>
      </w:r>
      <w:r w:rsidR="00030681" w:rsidRPr="00F8688E">
        <w:rPr>
          <w:rFonts w:asciiTheme="minorHAnsi" w:eastAsiaTheme="minorHAnsi" w:hAnsiTheme="minorHAnsi" w:cstheme="minorBidi"/>
        </w:rPr>
        <w:t>consolidada a través del tiempo.</w:t>
      </w:r>
      <w:r>
        <w:rPr>
          <w:rFonts w:asciiTheme="minorHAnsi" w:eastAsiaTheme="minorHAnsi" w:hAnsiTheme="minorHAnsi" w:cstheme="minorBidi"/>
        </w:rPr>
        <w:t xml:space="preserve"> La imagen expresa la personalidad de la organización y la reputación tiene su origen en la realidad misma de la organización dentro de su cultura corporativa y credibilidad. Por otro lado la </w:t>
      </w:r>
      <w:r w:rsidR="00F05944">
        <w:rPr>
          <w:rFonts w:asciiTheme="minorHAnsi" w:eastAsiaTheme="minorHAnsi" w:hAnsiTheme="minorHAnsi" w:cstheme="minorBidi"/>
        </w:rPr>
        <w:t>reputación es más bien la cristalización de la imagen corporativa y sobre todo cuando existe un excelente comportamiento corporativo. La reputación obedece a las demandas de los públicos involucrados mientras que la imagen solo genera simples expectativas. Finalmente la imagen viene de fueras de la organización y la reputación se genera desde el interior de la misma aunque es reconocida desde afuera.</w:t>
      </w:r>
    </w:p>
    <w:p w:rsidR="00B33E0D" w:rsidRPr="00B33E0D" w:rsidRDefault="00B33E0D" w:rsidP="00B33E0D">
      <w:pPr>
        <w:pStyle w:val="Textoindependiente"/>
        <w:rPr>
          <w:rFonts w:asciiTheme="minorHAnsi" w:eastAsiaTheme="minorHAnsi" w:hAnsiTheme="minorHAnsi" w:cstheme="minorBidi"/>
        </w:rPr>
      </w:pPr>
    </w:p>
    <w:p w:rsidR="00845941" w:rsidRPr="00E236EA" w:rsidRDefault="00E236EA" w:rsidP="00E236EA">
      <w:pPr>
        <w:pStyle w:val="Prrafodelista"/>
        <w:numPr>
          <w:ilvl w:val="0"/>
          <w:numId w:val="1"/>
        </w:numPr>
        <w:rPr>
          <w:b/>
          <w:color w:val="0070C0"/>
          <w:sz w:val="24"/>
          <w:szCs w:val="24"/>
        </w:rPr>
      </w:pPr>
      <w:r w:rsidRPr="00E236EA">
        <w:rPr>
          <w:b/>
          <w:color w:val="0070C0"/>
          <w:sz w:val="24"/>
          <w:szCs w:val="24"/>
        </w:rPr>
        <w:t>Relación entre el término reputación y la marca:</w:t>
      </w:r>
    </w:p>
    <w:p w:rsidR="003E097B" w:rsidRPr="003E097B" w:rsidRDefault="005C491A" w:rsidP="005C491A">
      <w:pPr>
        <w:spacing w:after="0" w:line="240" w:lineRule="auto"/>
        <w:jc w:val="both"/>
        <w:rPr>
          <w:sz w:val="24"/>
          <w:szCs w:val="24"/>
        </w:rPr>
      </w:pPr>
      <w:r>
        <w:rPr>
          <w:sz w:val="24"/>
          <w:szCs w:val="24"/>
        </w:rPr>
        <w:t xml:space="preserve">Es de vital importancia conocer </w:t>
      </w:r>
      <w:r w:rsidR="003E097B" w:rsidRPr="003E097B">
        <w:rPr>
          <w:sz w:val="24"/>
          <w:szCs w:val="24"/>
        </w:rPr>
        <w:t xml:space="preserve">el concepto de </w:t>
      </w:r>
      <w:r>
        <w:rPr>
          <w:sz w:val="24"/>
          <w:szCs w:val="24"/>
        </w:rPr>
        <w:t xml:space="preserve">marca; donde encontramos que “marca” es </w:t>
      </w:r>
      <w:r w:rsidR="003E097B" w:rsidRPr="003E097B">
        <w:rPr>
          <w:sz w:val="24"/>
          <w:szCs w:val="24"/>
        </w:rPr>
        <w:t>la expresión que la empresa sostiene con sus grupos de interés</w:t>
      </w:r>
      <w:r>
        <w:rPr>
          <w:sz w:val="24"/>
          <w:szCs w:val="24"/>
        </w:rPr>
        <w:t xml:space="preserve"> a través de promesas y compromisos. L</w:t>
      </w:r>
      <w:r w:rsidR="003E097B" w:rsidRPr="003E097B">
        <w:rPr>
          <w:sz w:val="24"/>
          <w:szCs w:val="24"/>
        </w:rPr>
        <w:t xml:space="preserve">as marcas de buena reputación </w:t>
      </w:r>
      <w:r w:rsidRPr="003E097B">
        <w:rPr>
          <w:sz w:val="24"/>
          <w:szCs w:val="24"/>
        </w:rPr>
        <w:t>derivan</w:t>
      </w:r>
      <w:r w:rsidR="003E097B" w:rsidRPr="003E097B">
        <w:rPr>
          <w:sz w:val="24"/>
          <w:szCs w:val="24"/>
        </w:rPr>
        <w:t xml:space="preserve"> de empresas que gozan de gran credibilidad</w:t>
      </w:r>
      <w:r>
        <w:rPr>
          <w:sz w:val="24"/>
          <w:szCs w:val="24"/>
        </w:rPr>
        <w:t>. Y e</w:t>
      </w:r>
      <w:r w:rsidR="003E097B" w:rsidRPr="003E097B">
        <w:rPr>
          <w:sz w:val="24"/>
          <w:szCs w:val="24"/>
        </w:rPr>
        <w:t>sa</w:t>
      </w:r>
      <w:r>
        <w:rPr>
          <w:sz w:val="24"/>
          <w:szCs w:val="24"/>
        </w:rPr>
        <w:t>s</w:t>
      </w:r>
      <w:r w:rsidR="003E097B" w:rsidRPr="003E097B">
        <w:rPr>
          <w:sz w:val="24"/>
          <w:szCs w:val="24"/>
        </w:rPr>
        <w:t xml:space="preserve"> promesa</w:t>
      </w:r>
      <w:r>
        <w:rPr>
          <w:sz w:val="24"/>
          <w:szCs w:val="24"/>
        </w:rPr>
        <w:t>s y compromisos</w:t>
      </w:r>
      <w:r w:rsidR="003E097B" w:rsidRPr="003E097B">
        <w:rPr>
          <w:sz w:val="24"/>
          <w:szCs w:val="24"/>
        </w:rPr>
        <w:t xml:space="preserve"> que la marca representa </w:t>
      </w:r>
      <w:r w:rsidRPr="003E097B">
        <w:rPr>
          <w:sz w:val="24"/>
          <w:szCs w:val="24"/>
        </w:rPr>
        <w:t>dan</w:t>
      </w:r>
      <w:r w:rsidR="003E097B" w:rsidRPr="003E097B">
        <w:rPr>
          <w:sz w:val="24"/>
          <w:szCs w:val="24"/>
        </w:rPr>
        <w:t xml:space="preserve"> lugar a la identidad de marca.</w:t>
      </w:r>
      <w:r>
        <w:rPr>
          <w:sz w:val="24"/>
          <w:szCs w:val="24"/>
        </w:rPr>
        <w:t xml:space="preserve"> Más que crear una marca con imagen positiva se ha buscado fusionar la personalidad corporativa con el concepto de marca para generar “marca experiencia” que consiste en la composición de elementos externos (logotipo, diseño, comunicación, RRPP, patrocinios, etc.) como de elementos internos (cultura interna, valores, comportamiento, sistema, etc.). En éste punto se busca  que la marca contribuya a la reputación y esto surgirá según el grado de cumplimiento de la promesa hecha por la organización o maraca hacia sus grupos o públicos.</w:t>
      </w:r>
    </w:p>
    <w:p w:rsidR="003E097B" w:rsidRPr="003E097B" w:rsidRDefault="003E097B" w:rsidP="003E097B">
      <w:pPr>
        <w:spacing w:after="0" w:line="240" w:lineRule="auto"/>
        <w:rPr>
          <w:sz w:val="24"/>
          <w:szCs w:val="24"/>
        </w:rPr>
      </w:pPr>
    </w:p>
    <w:p w:rsidR="003E097B" w:rsidRPr="00287966" w:rsidRDefault="00287966" w:rsidP="00287966">
      <w:pPr>
        <w:pStyle w:val="Prrafodelista"/>
        <w:numPr>
          <w:ilvl w:val="0"/>
          <w:numId w:val="1"/>
        </w:numPr>
        <w:spacing w:after="0" w:line="240" w:lineRule="auto"/>
        <w:rPr>
          <w:b/>
          <w:color w:val="0070C0"/>
          <w:sz w:val="24"/>
          <w:szCs w:val="24"/>
        </w:rPr>
      </w:pPr>
      <w:r w:rsidRPr="00287966">
        <w:rPr>
          <w:b/>
          <w:color w:val="0070C0"/>
          <w:sz w:val="24"/>
          <w:szCs w:val="24"/>
        </w:rPr>
        <w:t>Relación entre reputación y cultura corporativa teniendo los v</w:t>
      </w:r>
      <w:r>
        <w:rPr>
          <w:b/>
          <w:color w:val="0070C0"/>
          <w:sz w:val="24"/>
          <w:szCs w:val="24"/>
        </w:rPr>
        <w:t xml:space="preserve">alores </w:t>
      </w:r>
      <w:r w:rsidRPr="00287966">
        <w:rPr>
          <w:b/>
          <w:color w:val="0070C0"/>
          <w:sz w:val="24"/>
          <w:szCs w:val="24"/>
        </w:rPr>
        <w:t>empresariales como base.</w:t>
      </w:r>
    </w:p>
    <w:p w:rsidR="00287966" w:rsidRPr="00287966" w:rsidRDefault="00287966" w:rsidP="00287966">
      <w:pPr>
        <w:spacing w:after="0" w:line="240" w:lineRule="auto"/>
        <w:rPr>
          <w:sz w:val="24"/>
          <w:szCs w:val="24"/>
        </w:rPr>
      </w:pPr>
    </w:p>
    <w:p w:rsidR="00781042" w:rsidRDefault="00287966" w:rsidP="00781042">
      <w:pPr>
        <w:spacing w:after="0" w:line="240" w:lineRule="auto"/>
        <w:jc w:val="both"/>
        <w:rPr>
          <w:sz w:val="24"/>
          <w:szCs w:val="24"/>
        </w:rPr>
      </w:pPr>
      <w:r>
        <w:rPr>
          <w:sz w:val="24"/>
          <w:szCs w:val="24"/>
        </w:rPr>
        <w:t>A la cultura corporativa se le conoce como un intangible más de la</w:t>
      </w:r>
      <w:r w:rsidRPr="00287966">
        <w:rPr>
          <w:sz w:val="24"/>
          <w:szCs w:val="24"/>
        </w:rPr>
        <w:t xml:space="preserve"> empresa </w:t>
      </w:r>
      <w:r>
        <w:rPr>
          <w:sz w:val="24"/>
          <w:szCs w:val="24"/>
        </w:rPr>
        <w:t xml:space="preserve"> y </w:t>
      </w:r>
      <w:r w:rsidRPr="00287966">
        <w:rPr>
          <w:sz w:val="24"/>
          <w:szCs w:val="24"/>
        </w:rPr>
        <w:t xml:space="preserve"> es el proceso </w:t>
      </w:r>
      <w:r w:rsidR="00781042">
        <w:rPr>
          <w:sz w:val="24"/>
          <w:szCs w:val="24"/>
        </w:rPr>
        <w:t xml:space="preserve">donde los miembros construyen y conforman su </w:t>
      </w:r>
      <w:r w:rsidRPr="00287966">
        <w:rPr>
          <w:sz w:val="24"/>
          <w:szCs w:val="24"/>
        </w:rPr>
        <w:t xml:space="preserve">identidad corporativa </w:t>
      </w:r>
      <w:r w:rsidR="00781042">
        <w:rPr>
          <w:sz w:val="24"/>
          <w:szCs w:val="24"/>
        </w:rPr>
        <w:t xml:space="preserve">basándose </w:t>
      </w:r>
      <w:r w:rsidRPr="00287966">
        <w:rPr>
          <w:sz w:val="24"/>
          <w:szCs w:val="24"/>
        </w:rPr>
        <w:t xml:space="preserve">de valores </w:t>
      </w:r>
      <w:r w:rsidR="00781042">
        <w:rPr>
          <w:sz w:val="24"/>
          <w:szCs w:val="24"/>
        </w:rPr>
        <w:t>empresariales buscando tener un equilibrio entre sus relaciones internas y externas</w:t>
      </w:r>
      <w:proofErr w:type="gramStart"/>
      <w:r w:rsidR="00781042">
        <w:rPr>
          <w:sz w:val="24"/>
          <w:szCs w:val="24"/>
        </w:rPr>
        <w:t>.</w:t>
      </w:r>
      <w:r w:rsidRPr="00287966">
        <w:rPr>
          <w:sz w:val="24"/>
          <w:szCs w:val="24"/>
        </w:rPr>
        <w:t>.</w:t>
      </w:r>
      <w:proofErr w:type="gramEnd"/>
      <w:r w:rsidRPr="00287966">
        <w:rPr>
          <w:sz w:val="24"/>
          <w:szCs w:val="24"/>
        </w:rPr>
        <w:t xml:space="preserve"> Este concepto está ligado a la reputación al ser un suceso que se genera en el interior de las organizaciones y que después es cristalizado para alcanzar su valor cuando es reconocida por los </w:t>
      </w:r>
      <w:proofErr w:type="spellStart"/>
      <w:r w:rsidRPr="00287966">
        <w:rPr>
          <w:sz w:val="24"/>
          <w:szCs w:val="24"/>
        </w:rPr>
        <w:t>stakeholders</w:t>
      </w:r>
      <w:proofErr w:type="spellEnd"/>
      <w:r w:rsidRPr="00287966">
        <w:rPr>
          <w:sz w:val="24"/>
          <w:szCs w:val="24"/>
        </w:rPr>
        <w:t>.</w:t>
      </w:r>
      <w:r w:rsidR="00781042">
        <w:rPr>
          <w:sz w:val="24"/>
          <w:szCs w:val="24"/>
        </w:rPr>
        <w:t xml:space="preserve"> Y p</w:t>
      </w:r>
      <w:r w:rsidRPr="00287966">
        <w:rPr>
          <w:sz w:val="24"/>
          <w:szCs w:val="24"/>
        </w:rPr>
        <w:t>ueden reconocerse tres variables de la cultura corporativa</w:t>
      </w:r>
      <w:r w:rsidR="00781042">
        <w:rPr>
          <w:sz w:val="24"/>
          <w:szCs w:val="24"/>
        </w:rPr>
        <w:t xml:space="preserve"> que facilitan el</w:t>
      </w:r>
      <w:r>
        <w:rPr>
          <w:sz w:val="24"/>
          <w:szCs w:val="24"/>
        </w:rPr>
        <w:t xml:space="preserve"> diagnóstico</w:t>
      </w:r>
      <w:r w:rsidR="00781042">
        <w:rPr>
          <w:sz w:val="24"/>
          <w:szCs w:val="24"/>
        </w:rPr>
        <w:t xml:space="preserve"> de la empresa reputada</w:t>
      </w:r>
      <w:r>
        <w:rPr>
          <w:sz w:val="24"/>
          <w:szCs w:val="24"/>
        </w:rPr>
        <w:t>:</w:t>
      </w:r>
    </w:p>
    <w:p w:rsidR="00781042" w:rsidRDefault="00781042" w:rsidP="00781042">
      <w:pPr>
        <w:spacing w:after="0" w:line="240" w:lineRule="auto"/>
        <w:jc w:val="both"/>
        <w:rPr>
          <w:sz w:val="24"/>
          <w:szCs w:val="24"/>
        </w:rPr>
      </w:pPr>
    </w:p>
    <w:p w:rsidR="00781042" w:rsidRDefault="00781042" w:rsidP="0054344E">
      <w:pPr>
        <w:spacing w:after="0" w:line="240" w:lineRule="auto"/>
        <w:jc w:val="both"/>
        <w:rPr>
          <w:sz w:val="24"/>
          <w:szCs w:val="24"/>
        </w:rPr>
      </w:pPr>
      <w:r>
        <w:rPr>
          <w:noProof/>
          <w:sz w:val="24"/>
          <w:szCs w:val="24"/>
          <w:lang w:eastAsia="es-MX"/>
        </w:rPr>
        <w:lastRenderedPageBreak/>
        <w:drawing>
          <wp:inline distT="0" distB="0" distL="0" distR="0" wp14:anchorId="33F127EB" wp14:editId="459527E8">
            <wp:extent cx="5486400" cy="3200400"/>
            <wp:effectExtent l="38100" t="0" r="19050" b="0"/>
            <wp:docPr id="11" name="Diagrama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r w:rsidR="0054344E">
        <w:rPr>
          <w:sz w:val="24"/>
          <w:szCs w:val="24"/>
        </w:rPr>
        <w:br/>
      </w:r>
    </w:p>
    <w:p w:rsidR="00287966" w:rsidRPr="00287966" w:rsidRDefault="00781042" w:rsidP="00287966">
      <w:pPr>
        <w:spacing w:after="0" w:line="240" w:lineRule="auto"/>
        <w:rPr>
          <w:sz w:val="24"/>
          <w:szCs w:val="24"/>
        </w:rPr>
      </w:pPr>
      <w:r>
        <w:rPr>
          <w:sz w:val="24"/>
          <w:szCs w:val="24"/>
        </w:rPr>
        <w:t xml:space="preserve">Una vez definida la orientación a seguir dentro de la cultura corporativa </w:t>
      </w:r>
      <w:r w:rsidR="00287966" w:rsidRPr="00287966">
        <w:rPr>
          <w:sz w:val="24"/>
          <w:szCs w:val="24"/>
        </w:rPr>
        <w:t xml:space="preserve">es necesario cumplir tres requisitos para que se logre </w:t>
      </w:r>
      <w:r>
        <w:rPr>
          <w:sz w:val="24"/>
          <w:szCs w:val="24"/>
        </w:rPr>
        <w:t>desarrollar una cultura con base en ella</w:t>
      </w:r>
      <w:r w:rsidR="00287966" w:rsidRPr="00287966">
        <w:rPr>
          <w:sz w:val="24"/>
          <w:szCs w:val="24"/>
        </w:rPr>
        <w:t>:</w:t>
      </w:r>
    </w:p>
    <w:p w:rsidR="00287966" w:rsidRPr="00287966" w:rsidRDefault="00287966" w:rsidP="00287966">
      <w:pPr>
        <w:spacing w:after="0" w:line="240" w:lineRule="auto"/>
        <w:rPr>
          <w:sz w:val="24"/>
          <w:szCs w:val="24"/>
        </w:rPr>
      </w:pPr>
    </w:p>
    <w:p w:rsidR="00781042" w:rsidRDefault="00287966" w:rsidP="00287966">
      <w:pPr>
        <w:numPr>
          <w:ilvl w:val="1"/>
          <w:numId w:val="4"/>
        </w:numPr>
        <w:spacing w:after="0" w:line="240" w:lineRule="auto"/>
        <w:rPr>
          <w:sz w:val="24"/>
          <w:szCs w:val="24"/>
        </w:rPr>
      </w:pPr>
      <w:r w:rsidRPr="00781042">
        <w:rPr>
          <w:sz w:val="24"/>
          <w:szCs w:val="24"/>
        </w:rPr>
        <w:t xml:space="preserve">Una determinación fuerte proveniente de la alta dirección </w:t>
      </w:r>
    </w:p>
    <w:p w:rsidR="00287966" w:rsidRPr="00781042" w:rsidRDefault="00781042" w:rsidP="00287966">
      <w:pPr>
        <w:numPr>
          <w:ilvl w:val="1"/>
          <w:numId w:val="4"/>
        </w:numPr>
        <w:spacing w:after="0" w:line="240" w:lineRule="auto"/>
        <w:rPr>
          <w:sz w:val="24"/>
          <w:szCs w:val="24"/>
        </w:rPr>
      </w:pPr>
      <w:r>
        <w:rPr>
          <w:sz w:val="24"/>
          <w:szCs w:val="24"/>
        </w:rPr>
        <w:t>C</w:t>
      </w:r>
      <w:r w:rsidR="00287966" w:rsidRPr="00781042">
        <w:rPr>
          <w:sz w:val="24"/>
          <w:szCs w:val="24"/>
        </w:rPr>
        <w:t>onversión de forma de pensar a formas de hacer</w:t>
      </w:r>
    </w:p>
    <w:p w:rsidR="00287966" w:rsidRDefault="00781042" w:rsidP="00287966">
      <w:pPr>
        <w:numPr>
          <w:ilvl w:val="1"/>
          <w:numId w:val="4"/>
        </w:numPr>
        <w:spacing w:after="0" w:line="240" w:lineRule="auto"/>
        <w:rPr>
          <w:sz w:val="24"/>
          <w:szCs w:val="24"/>
        </w:rPr>
      </w:pPr>
      <w:r>
        <w:rPr>
          <w:sz w:val="24"/>
          <w:szCs w:val="24"/>
        </w:rPr>
        <w:t>C</w:t>
      </w:r>
      <w:r w:rsidR="00287966" w:rsidRPr="00287966">
        <w:rPr>
          <w:sz w:val="24"/>
          <w:szCs w:val="24"/>
        </w:rPr>
        <w:t>omunicación interna</w:t>
      </w:r>
      <w:r>
        <w:rPr>
          <w:sz w:val="24"/>
          <w:szCs w:val="24"/>
        </w:rPr>
        <w:t xml:space="preserve"> efectiva</w:t>
      </w:r>
      <w:r w:rsidR="00287966" w:rsidRPr="00287966">
        <w:rPr>
          <w:sz w:val="24"/>
          <w:szCs w:val="24"/>
        </w:rPr>
        <w:t xml:space="preserve"> </w:t>
      </w:r>
      <w:r>
        <w:rPr>
          <w:sz w:val="24"/>
          <w:szCs w:val="24"/>
        </w:rPr>
        <w:t xml:space="preserve">para la </w:t>
      </w:r>
      <w:r w:rsidR="00287966" w:rsidRPr="00287966">
        <w:rPr>
          <w:sz w:val="24"/>
          <w:szCs w:val="24"/>
        </w:rPr>
        <w:t xml:space="preserve">difusión de la orientación estratégica </w:t>
      </w:r>
      <w:r>
        <w:rPr>
          <w:sz w:val="24"/>
          <w:szCs w:val="24"/>
        </w:rPr>
        <w:t>reflejándose en hechos cotidianos</w:t>
      </w:r>
    </w:p>
    <w:p w:rsidR="00217920" w:rsidRDefault="00217920" w:rsidP="00217920">
      <w:pPr>
        <w:spacing w:after="0" w:line="240" w:lineRule="auto"/>
        <w:ind w:left="1440"/>
        <w:rPr>
          <w:sz w:val="24"/>
          <w:szCs w:val="24"/>
        </w:rPr>
      </w:pPr>
    </w:p>
    <w:p w:rsidR="00217920" w:rsidRPr="00217920" w:rsidRDefault="00217920" w:rsidP="00217920">
      <w:pPr>
        <w:pStyle w:val="Prrafodelista"/>
        <w:numPr>
          <w:ilvl w:val="0"/>
          <w:numId w:val="1"/>
        </w:numPr>
        <w:spacing w:after="0" w:line="240" w:lineRule="auto"/>
        <w:rPr>
          <w:b/>
          <w:color w:val="0070C0"/>
          <w:sz w:val="24"/>
          <w:szCs w:val="24"/>
        </w:rPr>
      </w:pPr>
      <w:r>
        <w:rPr>
          <w:b/>
          <w:color w:val="0070C0"/>
          <w:sz w:val="24"/>
          <w:szCs w:val="24"/>
        </w:rPr>
        <w:t xml:space="preserve">Capital </w:t>
      </w:r>
      <w:proofErr w:type="spellStart"/>
      <w:r>
        <w:rPr>
          <w:b/>
          <w:color w:val="0070C0"/>
          <w:sz w:val="24"/>
          <w:szCs w:val="24"/>
        </w:rPr>
        <w:t>reputacional</w:t>
      </w:r>
      <w:proofErr w:type="spellEnd"/>
      <w:r>
        <w:rPr>
          <w:b/>
          <w:color w:val="0070C0"/>
          <w:sz w:val="24"/>
          <w:szCs w:val="24"/>
        </w:rPr>
        <w:t xml:space="preserve"> en las organizaciones</w:t>
      </w:r>
    </w:p>
    <w:p w:rsidR="00217920" w:rsidRDefault="00217920" w:rsidP="00217920">
      <w:pPr>
        <w:spacing w:after="0" w:line="240" w:lineRule="auto"/>
        <w:rPr>
          <w:sz w:val="24"/>
          <w:szCs w:val="24"/>
        </w:rPr>
      </w:pPr>
    </w:p>
    <w:p w:rsidR="00217920" w:rsidRPr="00217920" w:rsidRDefault="00217920" w:rsidP="00135C5B">
      <w:pPr>
        <w:spacing w:after="0" w:line="240" w:lineRule="auto"/>
        <w:jc w:val="both"/>
        <w:rPr>
          <w:sz w:val="24"/>
          <w:szCs w:val="24"/>
        </w:rPr>
      </w:pPr>
      <w:r w:rsidRPr="00217920">
        <w:rPr>
          <w:sz w:val="24"/>
          <w:szCs w:val="24"/>
        </w:rPr>
        <w:t xml:space="preserve">El capital </w:t>
      </w:r>
      <w:proofErr w:type="spellStart"/>
      <w:r w:rsidRPr="00217920">
        <w:rPr>
          <w:sz w:val="24"/>
          <w:szCs w:val="24"/>
        </w:rPr>
        <w:t>reputacional</w:t>
      </w:r>
      <w:proofErr w:type="spellEnd"/>
      <w:r w:rsidRPr="00217920">
        <w:rPr>
          <w:sz w:val="24"/>
          <w:szCs w:val="24"/>
        </w:rPr>
        <w:t xml:space="preserve"> es el valor adquirido por la reputación corporativa hacia sus </w:t>
      </w:r>
      <w:proofErr w:type="spellStart"/>
      <w:r w:rsidRPr="00217920">
        <w:rPr>
          <w:sz w:val="24"/>
          <w:szCs w:val="24"/>
        </w:rPr>
        <w:t>stakeholders</w:t>
      </w:r>
      <w:proofErr w:type="spellEnd"/>
      <w:r w:rsidRPr="00217920">
        <w:rPr>
          <w:sz w:val="24"/>
          <w:szCs w:val="24"/>
        </w:rPr>
        <w:t>. Su formación requiere el cumplimiento de las siguientes condiciones básicas:</w:t>
      </w:r>
    </w:p>
    <w:p w:rsidR="00217920" w:rsidRPr="00135C5B" w:rsidRDefault="00217920" w:rsidP="00217920">
      <w:pPr>
        <w:pStyle w:val="Prrafodelista"/>
        <w:numPr>
          <w:ilvl w:val="0"/>
          <w:numId w:val="8"/>
        </w:numPr>
        <w:spacing w:after="0" w:line="240" w:lineRule="auto"/>
        <w:jc w:val="both"/>
        <w:rPr>
          <w:sz w:val="24"/>
          <w:szCs w:val="24"/>
        </w:rPr>
      </w:pPr>
      <w:r w:rsidRPr="00217920">
        <w:rPr>
          <w:sz w:val="24"/>
          <w:szCs w:val="24"/>
        </w:rPr>
        <w:t>Sensibilidad corporativa</w:t>
      </w:r>
      <w:r>
        <w:rPr>
          <w:sz w:val="24"/>
          <w:szCs w:val="24"/>
        </w:rPr>
        <w:t xml:space="preserve">: </w:t>
      </w:r>
      <w:r w:rsidRPr="00217920">
        <w:rPr>
          <w:sz w:val="24"/>
          <w:szCs w:val="24"/>
        </w:rPr>
        <w:t>Establecimiento de objetivos explícitos y precios de reputación</w:t>
      </w:r>
    </w:p>
    <w:p w:rsidR="00217920" w:rsidRPr="00135C5B" w:rsidRDefault="00217920" w:rsidP="00135C5B">
      <w:pPr>
        <w:numPr>
          <w:ilvl w:val="1"/>
          <w:numId w:val="4"/>
        </w:numPr>
        <w:spacing w:after="0" w:line="240" w:lineRule="auto"/>
        <w:jc w:val="both"/>
        <w:rPr>
          <w:sz w:val="24"/>
          <w:szCs w:val="24"/>
        </w:rPr>
      </w:pPr>
      <w:r w:rsidRPr="00217920">
        <w:rPr>
          <w:sz w:val="24"/>
          <w:szCs w:val="24"/>
        </w:rPr>
        <w:t>Gestión de la reputación</w:t>
      </w:r>
      <w:r>
        <w:rPr>
          <w:sz w:val="24"/>
          <w:szCs w:val="24"/>
        </w:rPr>
        <w:t xml:space="preserve">: </w:t>
      </w:r>
      <w:r w:rsidRPr="00217920">
        <w:rPr>
          <w:sz w:val="24"/>
          <w:szCs w:val="24"/>
        </w:rPr>
        <w:t xml:space="preserve">Introducción de la gestión de la reputación en el </w:t>
      </w:r>
      <w:proofErr w:type="spellStart"/>
      <w:r w:rsidRPr="00217920">
        <w:rPr>
          <w:sz w:val="24"/>
          <w:szCs w:val="24"/>
        </w:rPr>
        <w:t>managment</w:t>
      </w:r>
      <w:proofErr w:type="spellEnd"/>
      <w:r w:rsidRPr="00217920">
        <w:rPr>
          <w:sz w:val="24"/>
          <w:szCs w:val="24"/>
        </w:rPr>
        <w:t xml:space="preserve"> corporativo a través de un cruce transversal de la organización y la adopción de una estrategia al mis</w:t>
      </w:r>
      <w:r w:rsidRPr="00217920">
        <w:rPr>
          <w:sz w:val="24"/>
          <w:szCs w:val="24"/>
        </w:rPr>
        <w:t>mo tiempo global y centralizada</w:t>
      </w:r>
    </w:p>
    <w:p w:rsidR="00217920" w:rsidRDefault="00217920" w:rsidP="00217920">
      <w:pPr>
        <w:numPr>
          <w:ilvl w:val="1"/>
          <w:numId w:val="4"/>
        </w:numPr>
        <w:spacing w:after="0" w:line="240" w:lineRule="auto"/>
        <w:jc w:val="both"/>
        <w:rPr>
          <w:sz w:val="24"/>
          <w:szCs w:val="24"/>
        </w:rPr>
      </w:pPr>
      <w:r w:rsidRPr="00217920">
        <w:rPr>
          <w:sz w:val="24"/>
          <w:szCs w:val="24"/>
        </w:rPr>
        <w:t>Comportamiento corporativo comprometido</w:t>
      </w:r>
      <w:r>
        <w:rPr>
          <w:sz w:val="24"/>
          <w:szCs w:val="24"/>
        </w:rPr>
        <w:t xml:space="preserve">: </w:t>
      </w:r>
      <w:r w:rsidRPr="00217920">
        <w:rPr>
          <w:sz w:val="24"/>
          <w:szCs w:val="24"/>
        </w:rPr>
        <w:t xml:space="preserve">Superar los estándares de la media del sector respecto a todos los </w:t>
      </w:r>
      <w:proofErr w:type="spellStart"/>
      <w:r w:rsidRPr="00217920">
        <w:rPr>
          <w:sz w:val="24"/>
          <w:szCs w:val="24"/>
        </w:rPr>
        <w:t>stakeholders</w:t>
      </w:r>
      <w:proofErr w:type="spellEnd"/>
      <w:r w:rsidRPr="00217920">
        <w:rPr>
          <w:sz w:val="24"/>
          <w:szCs w:val="24"/>
        </w:rPr>
        <w:t xml:space="preserve"> de la organización</w:t>
      </w:r>
    </w:p>
    <w:p w:rsidR="001E07F2" w:rsidRDefault="001E07F2" w:rsidP="001E07F2">
      <w:pPr>
        <w:pStyle w:val="Prrafodelista"/>
        <w:rPr>
          <w:sz w:val="24"/>
          <w:szCs w:val="24"/>
        </w:rPr>
      </w:pPr>
    </w:p>
    <w:p w:rsidR="0054344E" w:rsidRDefault="0054344E" w:rsidP="0054344E">
      <w:pPr>
        <w:pStyle w:val="Prrafodelista"/>
        <w:spacing w:after="0" w:line="240" w:lineRule="auto"/>
        <w:jc w:val="both"/>
        <w:rPr>
          <w:b/>
          <w:color w:val="0070C0"/>
          <w:sz w:val="24"/>
          <w:szCs w:val="24"/>
        </w:rPr>
      </w:pPr>
    </w:p>
    <w:p w:rsidR="0054344E" w:rsidRDefault="0054344E" w:rsidP="0054344E">
      <w:pPr>
        <w:pStyle w:val="Prrafodelista"/>
        <w:spacing w:after="0" w:line="240" w:lineRule="auto"/>
        <w:jc w:val="both"/>
        <w:rPr>
          <w:b/>
          <w:color w:val="0070C0"/>
          <w:sz w:val="24"/>
          <w:szCs w:val="24"/>
        </w:rPr>
      </w:pPr>
    </w:p>
    <w:p w:rsidR="0054344E" w:rsidRDefault="0054344E" w:rsidP="0054344E">
      <w:pPr>
        <w:pStyle w:val="Prrafodelista"/>
        <w:spacing w:after="0" w:line="240" w:lineRule="auto"/>
        <w:jc w:val="both"/>
        <w:rPr>
          <w:b/>
          <w:color w:val="0070C0"/>
          <w:sz w:val="24"/>
          <w:szCs w:val="24"/>
        </w:rPr>
      </w:pPr>
    </w:p>
    <w:p w:rsidR="0054344E" w:rsidRDefault="0054344E" w:rsidP="0054344E">
      <w:pPr>
        <w:pStyle w:val="Prrafodelista"/>
        <w:spacing w:after="0" w:line="240" w:lineRule="auto"/>
        <w:jc w:val="both"/>
        <w:rPr>
          <w:b/>
          <w:color w:val="0070C0"/>
          <w:sz w:val="24"/>
          <w:szCs w:val="24"/>
        </w:rPr>
      </w:pPr>
    </w:p>
    <w:p w:rsidR="0054344E" w:rsidRDefault="0054344E" w:rsidP="0054344E">
      <w:pPr>
        <w:pStyle w:val="Prrafodelista"/>
        <w:spacing w:after="0" w:line="240" w:lineRule="auto"/>
        <w:jc w:val="both"/>
        <w:rPr>
          <w:b/>
          <w:color w:val="0070C0"/>
          <w:sz w:val="24"/>
          <w:szCs w:val="24"/>
        </w:rPr>
      </w:pPr>
    </w:p>
    <w:p w:rsidR="001E07F2" w:rsidRPr="001E07F2" w:rsidRDefault="001E07F2" w:rsidP="001E07F2">
      <w:pPr>
        <w:pStyle w:val="Prrafodelista"/>
        <w:numPr>
          <w:ilvl w:val="0"/>
          <w:numId w:val="1"/>
        </w:numPr>
        <w:spacing w:after="0" w:line="240" w:lineRule="auto"/>
        <w:jc w:val="both"/>
        <w:rPr>
          <w:b/>
          <w:color w:val="0070C0"/>
          <w:sz w:val="24"/>
          <w:szCs w:val="24"/>
        </w:rPr>
      </w:pPr>
      <w:r w:rsidRPr="001E07F2">
        <w:rPr>
          <w:b/>
          <w:color w:val="0070C0"/>
          <w:sz w:val="24"/>
          <w:szCs w:val="24"/>
        </w:rPr>
        <w:lastRenderedPageBreak/>
        <w:t xml:space="preserve">¿Cómo ser un líder </w:t>
      </w:r>
      <w:proofErr w:type="spellStart"/>
      <w:r w:rsidRPr="001E07F2">
        <w:rPr>
          <w:b/>
          <w:color w:val="0070C0"/>
          <w:sz w:val="24"/>
          <w:szCs w:val="24"/>
        </w:rPr>
        <w:t>reputacional</w:t>
      </w:r>
      <w:proofErr w:type="spellEnd"/>
      <w:r w:rsidRPr="001E07F2">
        <w:rPr>
          <w:b/>
          <w:color w:val="0070C0"/>
          <w:sz w:val="24"/>
          <w:szCs w:val="24"/>
        </w:rPr>
        <w:t>?</w:t>
      </w:r>
    </w:p>
    <w:p w:rsidR="00287966" w:rsidRDefault="00287966" w:rsidP="00217920">
      <w:pPr>
        <w:spacing w:after="0" w:line="240" w:lineRule="auto"/>
        <w:ind w:left="1440"/>
        <w:rPr>
          <w:sz w:val="24"/>
          <w:szCs w:val="24"/>
        </w:rPr>
      </w:pPr>
    </w:p>
    <w:p w:rsidR="001E07F2" w:rsidRPr="001E07F2" w:rsidRDefault="001E07F2" w:rsidP="001E07F2">
      <w:pPr>
        <w:spacing w:after="0" w:line="240" w:lineRule="auto"/>
        <w:jc w:val="both"/>
        <w:rPr>
          <w:sz w:val="24"/>
          <w:szCs w:val="24"/>
        </w:rPr>
      </w:pPr>
      <w:r w:rsidRPr="001E07F2">
        <w:rPr>
          <w:sz w:val="24"/>
          <w:szCs w:val="24"/>
        </w:rPr>
        <w:t xml:space="preserve">El liderazgo </w:t>
      </w:r>
      <w:proofErr w:type="spellStart"/>
      <w:r w:rsidRPr="001E07F2">
        <w:rPr>
          <w:sz w:val="24"/>
          <w:szCs w:val="24"/>
        </w:rPr>
        <w:t>reputacional</w:t>
      </w:r>
      <w:proofErr w:type="spellEnd"/>
      <w:r w:rsidRPr="001E07F2">
        <w:rPr>
          <w:sz w:val="24"/>
          <w:szCs w:val="24"/>
        </w:rPr>
        <w:t xml:space="preserve"> </w:t>
      </w:r>
      <w:r w:rsidR="00CC534F">
        <w:rPr>
          <w:sz w:val="24"/>
          <w:szCs w:val="24"/>
        </w:rPr>
        <w:t xml:space="preserve">es el traslado de un pensamiento </w:t>
      </w:r>
      <w:r w:rsidRPr="001E07F2">
        <w:rPr>
          <w:sz w:val="24"/>
          <w:szCs w:val="24"/>
        </w:rPr>
        <w:t xml:space="preserve">racional y emocional que hace que una empresa sea la opción preferida para trabajar, comprar, invertir y compartir </w:t>
      </w:r>
      <w:r w:rsidR="00CC534F">
        <w:rPr>
          <w:sz w:val="24"/>
          <w:szCs w:val="24"/>
        </w:rPr>
        <w:t>y que, además, posea el</w:t>
      </w:r>
      <w:r w:rsidRPr="001E07F2">
        <w:rPr>
          <w:sz w:val="24"/>
          <w:szCs w:val="24"/>
        </w:rPr>
        <w:t xml:space="preserve"> suficiente tamaño y valor. Para que una empresa adquiera el liderazgo, ésta debe ser reputada y para poder lograr dicho liderazgo es necesario cumplir con dos requisitos:</w:t>
      </w:r>
    </w:p>
    <w:p w:rsidR="001E07F2" w:rsidRPr="001E07F2" w:rsidRDefault="001E07F2" w:rsidP="001E07F2">
      <w:pPr>
        <w:spacing w:after="0" w:line="240" w:lineRule="auto"/>
        <w:jc w:val="both"/>
        <w:rPr>
          <w:sz w:val="24"/>
          <w:szCs w:val="24"/>
        </w:rPr>
      </w:pPr>
    </w:p>
    <w:p w:rsidR="001E07F2" w:rsidRPr="00656FA7" w:rsidRDefault="001E07F2" w:rsidP="001E07F2">
      <w:pPr>
        <w:numPr>
          <w:ilvl w:val="0"/>
          <w:numId w:val="9"/>
        </w:numPr>
        <w:spacing w:after="0" w:line="240" w:lineRule="auto"/>
        <w:jc w:val="both"/>
        <w:rPr>
          <w:sz w:val="24"/>
          <w:szCs w:val="24"/>
        </w:rPr>
      </w:pPr>
      <w:r w:rsidRPr="001E07F2">
        <w:rPr>
          <w:sz w:val="24"/>
          <w:szCs w:val="24"/>
        </w:rPr>
        <w:t xml:space="preserve">Adoptar una visión </w:t>
      </w:r>
      <w:proofErr w:type="spellStart"/>
      <w:r w:rsidRPr="001E07F2">
        <w:rPr>
          <w:sz w:val="24"/>
          <w:szCs w:val="24"/>
        </w:rPr>
        <w:t>reputacional</w:t>
      </w:r>
      <w:proofErr w:type="spellEnd"/>
      <w:r w:rsidRPr="001E07F2">
        <w:rPr>
          <w:sz w:val="24"/>
          <w:szCs w:val="24"/>
        </w:rPr>
        <w:t xml:space="preserve"> para ser líderes</w:t>
      </w:r>
      <w:r w:rsidR="00656FA7">
        <w:rPr>
          <w:sz w:val="24"/>
          <w:szCs w:val="24"/>
        </w:rPr>
        <w:t>: A</w:t>
      </w:r>
      <w:r w:rsidRPr="00656FA7">
        <w:rPr>
          <w:sz w:val="24"/>
          <w:szCs w:val="24"/>
        </w:rPr>
        <w:t xml:space="preserve">dopción del </w:t>
      </w:r>
      <w:r w:rsidR="00656FA7" w:rsidRPr="00656FA7">
        <w:rPr>
          <w:sz w:val="24"/>
          <w:szCs w:val="24"/>
        </w:rPr>
        <w:t>liderazgo en una met</w:t>
      </w:r>
      <w:r w:rsidRPr="00656FA7">
        <w:rPr>
          <w:sz w:val="24"/>
          <w:szCs w:val="24"/>
        </w:rPr>
        <w:t>a lograr traducirla en objetivos e implica:</w:t>
      </w:r>
    </w:p>
    <w:p w:rsidR="001E07F2" w:rsidRPr="00656FA7" w:rsidRDefault="001E07F2" w:rsidP="001E07F2">
      <w:pPr>
        <w:numPr>
          <w:ilvl w:val="0"/>
          <w:numId w:val="9"/>
        </w:numPr>
        <w:spacing w:after="0" w:line="240" w:lineRule="auto"/>
        <w:jc w:val="both"/>
        <w:rPr>
          <w:sz w:val="24"/>
          <w:szCs w:val="24"/>
        </w:rPr>
      </w:pPr>
      <w:r w:rsidRPr="001E07F2">
        <w:rPr>
          <w:sz w:val="24"/>
          <w:szCs w:val="24"/>
        </w:rPr>
        <w:t xml:space="preserve">Introducir una orientación </w:t>
      </w:r>
      <w:proofErr w:type="spellStart"/>
      <w:r w:rsidRPr="001E07F2">
        <w:rPr>
          <w:sz w:val="24"/>
          <w:szCs w:val="24"/>
        </w:rPr>
        <w:t>reputacional</w:t>
      </w:r>
      <w:proofErr w:type="spellEnd"/>
      <w:r w:rsidRPr="001E07F2">
        <w:rPr>
          <w:sz w:val="24"/>
          <w:szCs w:val="24"/>
        </w:rPr>
        <w:t xml:space="preserve"> </w:t>
      </w:r>
      <w:r w:rsidR="00656FA7">
        <w:rPr>
          <w:sz w:val="24"/>
          <w:szCs w:val="24"/>
        </w:rPr>
        <w:t xml:space="preserve">lo cual </w:t>
      </w:r>
      <w:r w:rsidRPr="00656FA7">
        <w:rPr>
          <w:sz w:val="24"/>
          <w:szCs w:val="24"/>
        </w:rPr>
        <w:t>Involucra criterios de reputación en la gestión a partir de:</w:t>
      </w:r>
    </w:p>
    <w:p w:rsidR="001E07F2" w:rsidRPr="001E07F2" w:rsidRDefault="001E07F2" w:rsidP="001E07F2">
      <w:pPr>
        <w:spacing w:after="0" w:line="240" w:lineRule="auto"/>
        <w:jc w:val="both"/>
        <w:rPr>
          <w:sz w:val="24"/>
          <w:szCs w:val="24"/>
        </w:rPr>
      </w:pPr>
    </w:p>
    <w:p w:rsidR="001E07F2" w:rsidRPr="001E07F2" w:rsidRDefault="001E07F2" w:rsidP="00656FA7">
      <w:pPr>
        <w:numPr>
          <w:ilvl w:val="1"/>
          <w:numId w:val="18"/>
        </w:numPr>
        <w:spacing w:after="0" w:line="240" w:lineRule="auto"/>
        <w:jc w:val="both"/>
        <w:rPr>
          <w:sz w:val="24"/>
          <w:szCs w:val="24"/>
        </w:rPr>
      </w:pPr>
      <w:r w:rsidRPr="001E07F2">
        <w:rPr>
          <w:sz w:val="24"/>
          <w:szCs w:val="24"/>
        </w:rPr>
        <w:t xml:space="preserve">Tomar la reputación sectorial como  referencia </w:t>
      </w:r>
    </w:p>
    <w:p w:rsidR="001E07F2" w:rsidRPr="001E07F2" w:rsidRDefault="001E07F2" w:rsidP="00656FA7">
      <w:pPr>
        <w:numPr>
          <w:ilvl w:val="1"/>
          <w:numId w:val="18"/>
        </w:numPr>
        <w:spacing w:after="0" w:line="240" w:lineRule="auto"/>
        <w:jc w:val="both"/>
        <w:rPr>
          <w:sz w:val="24"/>
          <w:szCs w:val="24"/>
        </w:rPr>
      </w:pPr>
      <w:r w:rsidRPr="001E07F2">
        <w:rPr>
          <w:sz w:val="24"/>
          <w:szCs w:val="24"/>
        </w:rPr>
        <w:t xml:space="preserve">Establecimiento de objetivos de reputación </w:t>
      </w:r>
    </w:p>
    <w:p w:rsidR="001E07F2" w:rsidRPr="001E07F2" w:rsidRDefault="001E07F2" w:rsidP="00656FA7">
      <w:pPr>
        <w:numPr>
          <w:ilvl w:val="1"/>
          <w:numId w:val="18"/>
        </w:numPr>
        <w:spacing w:after="0" w:line="240" w:lineRule="auto"/>
        <w:jc w:val="both"/>
        <w:rPr>
          <w:sz w:val="24"/>
          <w:szCs w:val="24"/>
        </w:rPr>
      </w:pPr>
      <w:r w:rsidRPr="001E07F2">
        <w:rPr>
          <w:sz w:val="24"/>
          <w:szCs w:val="24"/>
        </w:rPr>
        <w:t xml:space="preserve">Evaluación permanente de la reputación y el cumplimiento de los objetivos </w:t>
      </w:r>
      <w:proofErr w:type="spellStart"/>
      <w:r w:rsidRPr="001E07F2">
        <w:rPr>
          <w:sz w:val="24"/>
          <w:szCs w:val="24"/>
        </w:rPr>
        <w:t>reputacion</w:t>
      </w:r>
      <w:r w:rsidR="00656FA7">
        <w:rPr>
          <w:sz w:val="24"/>
          <w:szCs w:val="24"/>
        </w:rPr>
        <w:t>al</w:t>
      </w:r>
      <w:r w:rsidRPr="001E07F2">
        <w:rPr>
          <w:sz w:val="24"/>
          <w:szCs w:val="24"/>
        </w:rPr>
        <w:t>es</w:t>
      </w:r>
      <w:proofErr w:type="spellEnd"/>
      <w:r w:rsidRPr="001E07F2">
        <w:rPr>
          <w:sz w:val="24"/>
          <w:szCs w:val="24"/>
        </w:rPr>
        <w:t xml:space="preserve"> </w:t>
      </w:r>
    </w:p>
    <w:p w:rsidR="001E07F2" w:rsidRDefault="001E07F2" w:rsidP="00656FA7">
      <w:pPr>
        <w:numPr>
          <w:ilvl w:val="1"/>
          <w:numId w:val="18"/>
        </w:numPr>
        <w:spacing w:after="0" w:line="240" w:lineRule="auto"/>
        <w:jc w:val="both"/>
        <w:rPr>
          <w:sz w:val="24"/>
          <w:szCs w:val="24"/>
        </w:rPr>
      </w:pPr>
      <w:r w:rsidRPr="001E07F2">
        <w:rPr>
          <w:sz w:val="24"/>
          <w:szCs w:val="24"/>
        </w:rPr>
        <w:t xml:space="preserve">Implementación de acciones de mejora y políticas </w:t>
      </w:r>
    </w:p>
    <w:p w:rsidR="00656FA7" w:rsidRDefault="00656FA7" w:rsidP="00656FA7">
      <w:pPr>
        <w:spacing w:after="0" w:line="240" w:lineRule="auto"/>
        <w:ind w:left="720"/>
        <w:jc w:val="both"/>
        <w:rPr>
          <w:sz w:val="24"/>
          <w:szCs w:val="24"/>
        </w:rPr>
      </w:pPr>
    </w:p>
    <w:p w:rsidR="001E07F2" w:rsidRDefault="001E07F2" w:rsidP="00217920">
      <w:pPr>
        <w:spacing w:after="0" w:line="240" w:lineRule="auto"/>
        <w:ind w:left="1440"/>
        <w:rPr>
          <w:sz w:val="24"/>
          <w:szCs w:val="24"/>
        </w:rPr>
      </w:pPr>
    </w:p>
    <w:p w:rsidR="00FB1488" w:rsidRDefault="00E413AB" w:rsidP="00FB1488">
      <w:pPr>
        <w:pStyle w:val="Prrafodelista"/>
        <w:numPr>
          <w:ilvl w:val="0"/>
          <w:numId w:val="1"/>
        </w:numPr>
        <w:spacing w:after="0" w:line="240" w:lineRule="auto"/>
        <w:rPr>
          <w:b/>
          <w:color w:val="0070C0"/>
          <w:sz w:val="24"/>
          <w:szCs w:val="24"/>
        </w:rPr>
      </w:pPr>
      <w:r>
        <w:rPr>
          <w:b/>
          <w:color w:val="0070C0"/>
          <w:sz w:val="24"/>
          <w:szCs w:val="24"/>
        </w:rPr>
        <w:t>Evaluación de la reputación y los diferenciales entre auditorías y monitores</w:t>
      </w:r>
    </w:p>
    <w:p w:rsidR="00E413AB" w:rsidRDefault="00E413AB" w:rsidP="00FB1488">
      <w:pPr>
        <w:spacing w:after="0" w:line="240" w:lineRule="auto"/>
        <w:jc w:val="both"/>
        <w:rPr>
          <w:sz w:val="24"/>
          <w:szCs w:val="24"/>
        </w:rPr>
      </w:pPr>
    </w:p>
    <w:p w:rsidR="001E07F2" w:rsidRPr="00FB1488" w:rsidRDefault="00FB1488" w:rsidP="00FB1488">
      <w:pPr>
        <w:spacing w:after="0" w:line="240" w:lineRule="auto"/>
        <w:jc w:val="both"/>
        <w:rPr>
          <w:b/>
          <w:color w:val="0070C0"/>
          <w:sz w:val="24"/>
          <w:szCs w:val="24"/>
        </w:rPr>
      </w:pPr>
      <w:r>
        <w:rPr>
          <w:sz w:val="24"/>
          <w:szCs w:val="24"/>
        </w:rPr>
        <w:t xml:space="preserve">Existen </w:t>
      </w:r>
      <w:r w:rsidR="001E07F2" w:rsidRPr="00FB1488">
        <w:rPr>
          <w:sz w:val="24"/>
          <w:szCs w:val="24"/>
        </w:rPr>
        <w:t xml:space="preserve">dos formas para la evaluación de la reputación de una empresa, la primera es  mediante una auditoría de reputación y la segunda por medio de los monitores </w:t>
      </w:r>
      <w:proofErr w:type="spellStart"/>
      <w:r w:rsidR="001E07F2" w:rsidRPr="00FB1488">
        <w:rPr>
          <w:sz w:val="24"/>
          <w:szCs w:val="24"/>
        </w:rPr>
        <w:t>reputacionales</w:t>
      </w:r>
      <w:proofErr w:type="spellEnd"/>
      <w:r w:rsidR="001E07F2" w:rsidRPr="00FB1488">
        <w:rPr>
          <w:sz w:val="24"/>
          <w:szCs w:val="24"/>
        </w:rPr>
        <w:t xml:space="preserve">. </w:t>
      </w:r>
    </w:p>
    <w:p w:rsidR="00FB1488" w:rsidRDefault="00FB1488" w:rsidP="00FB1488">
      <w:pPr>
        <w:spacing w:after="0" w:line="240" w:lineRule="auto"/>
        <w:jc w:val="both"/>
        <w:rPr>
          <w:sz w:val="24"/>
          <w:szCs w:val="24"/>
        </w:rPr>
      </w:pPr>
    </w:p>
    <w:p w:rsidR="001E07F2" w:rsidRDefault="00FB1488" w:rsidP="00FB1488">
      <w:pPr>
        <w:spacing w:after="0" w:line="240" w:lineRule="auto"/>
        <w:jc w:val="both"/>
        <w:rPr>
          <w:sz w:val="24"/>
          <w:szCs w:val="24"/>
        </w:rPr>
      </w:pPr>
      <w:r>
        <w:rPr>
          <w:sz w:val="24"/>
          <w:szCs w:val="24"/>
        </w:rPr>
        <w:t>-</w:t>
      </w:r>
      <w:r w:rsidR="001E07F2" w:rsidRPr="001E07F2">
        <w:rPr>
          <w:sz w:val="24"/>
          <w:szCs w:val="24"/>
        </w:rPr>
        <w:t>Las auditorías permiten expresar las singularidades de cada una de las empresas que se están tratando</w:t>
      </w:r>
      <w:r>
        <w:rPr>
          <w:sz w:val="24"/>
          <w:szCs w:val="24"/>
        </w:rPr>
        <w:t>.</w:t>
      </w:r>
      <w:r w:rsidR="001E07F2" w:rsidRPr="001E07F2">
        <w:rPr>
          <w:sz w:val="24"/>
          <w:szCs w:val="24"/>
        </w:rPr>
        <w:t xml:space="preserve"> </w:t>
      </w:r>
      <w:r w:rsidR="00E413AB">
        <w:rPr>
          <w:sz w:val="24"/>
          <w:szCs w:val="24"/>
        </w:rPr>
        <w:t>B</w:t>
      </w:r>
      <w:r w:rsidR="00E413AB" w:rsidRPr="001E07F2">
        <w:rPr>
          <w:sz w:val="24"/>
          <w:szCs w:val="24"/>
        </w:rPr>
        <w:t xml:space="preserve">ásicamente </w:t>
      </w:r>
      <w:r w:rsidR="00E413AB">
        <w:rPr>
          <w:sz w:val="24"/>
          <w:szCs w:val="24"/>
        </w:rPr>
        <w:t xml:space="preserve">es </w:t>
      </w:r>
      <w:r w:rsidR="00E413AB" w:rsidRPr="001E07F2">
        <w:rPr>
          <w:sz w:val="24"/>
          <w:szCs w:val="24"/>
        </w:rPr>
        <w:t>una investigación a la medida, la cual evalúa todas las variables de las</w:t>
      </w:r>
    </w:p>
    <w:p w:rsidR="00FB1488" w:rsidRPr="001E07F2" w:rsidRDefault="00FB1488" w:rsidP="00FB1488">
      <w:pPr>
        <w:spacing w:after="0" w:line="240" w:lineRule="auto"/>
        <w:jc w:val="both"/>
        <w:rPr>
          <w:sz w:val="24"/>
          <w:szCs w:val="24"/>
        </w:rPr>
      </w:pPr>
    </w:p>
    <w:p w:rsidR="001E07F2" w:rsidRDefault="00FB1488" w:rsidP="00FB1488">
      <w:pPr>
        <w:spacing w:after="0" w:line="240" w:lineRule="auto"/>
        <w:jc w:val="both"/>
        <w:rPr>
          <w:sz w:val="24"/>
          <w:szCs w:val="24"/>
        </w:rPr>
      </w:pPr>
      <w:r>
        <w:rPr>
          <w:sz w:val="24"/>
          <w:szCs w:val="24"/>
        </w:rPr>
        <w:t>-</w:t>
      </w:r>
      <w:r w:rsidR="001E07F2" w:rsidRPr="001E07F2">
        <w:rPr>
          <w:sz w:val="24"/>
          <w:szCs w:val="24"/>
        </w:rPr>
        <w:t>Por otro lado los monitores se inclinan más a estandarizar el análisis imponiendo un</w:t>
      </w:r>
      <w:r>
        <w:rPr>
          <w:sz w:val="24"/>
          <w:szCs w:val="24"/>
        </w:rPr>
        <w:t xml:space="preserve"> cuadro denominado de variables.</w:t>
      </w:r>
    </w:p>
    <w:p w:rsidR="00FB1488" w:rsidRDefault="00FB1488" w:rsidP="00FB1488">
      <w:pPr>
        <w:spacing w:after="0" w:line="240" w:lineRule="auto"/>
        <w:jc w:val="both"/>
        <w:rPr>
          <w:sz w:val="24"/>
          <w:szCs w:val="24"/>
        </w:rPr>
      </w:pPr>
    </w:p>
    <w:p w:rsidR="001E07F2" w:rsidRDefault="001E07F2" w:rsidP="00FB1488">
      <w:pPr>
        <w:spacing w:after="0" w:line="240" w:lineRule="auto"/>
        <w:jc w:val="both"/>
        <w:rPr>
          <w:sz w:val="24"/>
          <w:szCs w:val="24"/>
        </w:rPr>
      </w:pPr>
      <w:r w:rsidRPr="001E07F2">
        <w:rPr>
          <w:sz w:val="24"/>
          <w:szCs w:val="24"/>
        </w:rPr>
        <w:t>La evaluación de la reputación se basa en criterios los cuales ayudan a que se oriente, dichos criterios son las “variables de la reputación”</w:t>
      </w:r>
      <w:r w:rsidR="00E413AB">
        <w:rPr>
          <w:sz w:val="24"/>
          <w:szCs w:val="24"/>
        </w:rPr>
        <w:t xml:space="preserve">: </w:t>
      </w:r>
      <w:r w:rsidRPr="001E07F2">
        <w:rPr>
          <w:sz w:val="24"/>
          <w:szCs w:val="24"/>
        </w:rPr>
        <w:t>las dos primeras se les denominan “variables duras” (más enfocadas hacia el negocio) y las dos últimas son denominadas “variables blandas” (la posición que tienen cada uno de los trabajadores de una empresa hacia los valores culturales y la ética los cuales ayudan al comportamiento corporativo).</w:t>
      </w:r>
    </w:p>
    <w:p w:rsidR="0054344E" w:rsidRDefault="0054344E" w:rsidP="00FB1488">
      <w:pPr>
        <w:spacing w:after="0" w:line="240" w:lineRule="auto"/>
        <w:jc w:val="both"/>
        <w:rPr>
          <w:sz w:val="24"/>
          <w:szCs w:val="24"/>
        </w:rPr>
      </w:pPr>
    </w:p>
    <w:p w:rsidR="0054344E" w:rsidRDefault="0054344E" w:rsidP="00FB1488">
      <w:pPr>
        <w:spacing w:after="0" w:line="240" w:lineRule="auto"/>
        <w:jc w:val="both"/>
        <w:rPr>
          <w:sz w:val="24"/>
          <w:szCs w:val="24"/>
        </w:rPr>
      </w:pPr>
    </w:p>
    <w:p w:rsidR="0054344E" w:rsidRDefault="0054344E" w:rsidP="00FB1488">
      <w:pPr>
        <w:spacing w:after="0" w:line="240" w:lineRule="auto"/>
        <w:jc w:val="both"/>
        <w:rPr>
          <w:sz w:val="24"/>
          <w:szCs w:val="24"/>
        </w:rPr>
      </w:pPr>
    </w:p>
    <w:p w:rsidR="0054344E" w:rsidRDefault="0054344E" w:rsidP="00FB1488">
      <w:pPr>
        <w:spacing w:after="0" w:line="240" w:lineRule="auto"/>
        <w:jc w:val="both"/>
        <w:rPr>
          <w:sz w:val="24"/>
          <w:szCs w:val="24"/>
        </w:rPr>
      </w:pPr>
    </w:p>
    <w:p w:rsidR="0054344E" w:rsidRDefault="0054344E" w:rsidP="00FB1488">
      <w:pPr>
        <w:spacing w:after="0" w:line="240" w:lineRule="auto"/>
        <w:jc w:val="both"/>
        <w:rPr>
          <w:sz w:val="24"/>
          <w:szCs w:val="24"/>
        </w:rPr>
      </w:pPr>
    </w:p>
    <w:p w:rsidR="00FB1488" w:rsidRPr="001E07F2" w:rsidRDefault="00FB1488" w:rsidP="00FB1488">
      <w:pPr>
        <w:spacing w:after="0" w:line="240" w:lineRule="auto"/>
        <w:jc w:val="both"/>
        <w:rPr>
          <w:sz w:val="24"/>
          <w:szCs w:val="24"/>
        </w:rPr>
      </w:pPr>
    </w:p>
    <w:p w:rsidR="001E07F2" w:rsidRPr="001E07F2" w:rsidRDefault="001E07F2" w:rsidP="001E07F2">
      <w:pPr>
        <w:pStyle w:val="Prrafodelista"/>
        <w:numPr>
          <w:ilvl w:val="0"/>
          <w:numId w:val="1"/>
        </w:numPr>
        <w:spacing w:after="0" w:line="240" w:lineRule="auto"/>
        <w:rPr>
          <w:b/>
          <w:color w:val="0070C0"/>
          <w:sz w:val="24"/>
          <w:szCs w:val="24"/>
        </w:rPr>
      </w:pPr>
      <w:r w:rsidRPr="001E07F2">
        <w:rPr>
          <w:b/>
          <w:color w:val="0070C0"/>
          <w:sz w:val="24"/>
          <w:szCs w:val="24"/>
        </w:rPr>
        <w:lastRenderedPageBreak/>
        <w:t>La gestión de la reputación.</w:t>
      </w:r>
    </w:p>
    <w:p w:rsidR="001E07F2" w:rsidRPr="001E07F2" w:rsidRDefault="001E07F2" w:rsidP="001E07F2">
      <w:pPr>
        <w:spacing w:after="0" w:line="240" w:lineRule="auto"/>
        <w:rPr>
          <w:sz w:val="24"/>
          <w:szCs w:val="24"/>
        </w:rPr>
      </w:pPr>
    </w:p>
    <w:p w:rsidR="001E07F2" w:rsidRPr="001E07F2" w:rsidRDefault="00694622" w:rsidP="001E07F2">
      <w:pPr>
        <w:spacing w:after="0" w:line="240" w:lineRule="auto"/>
        <w:jc w:val="both"/>
        <w:rPr>
          <w:sz w:val="24"/>
          <w:szCs w:val="24"/>
        </w:rPr>
      </w:pPr>
      <w:r>
        <w:rPr>
          <w:sz w:val="24"/>
          <w:szCs w:val="24"/>
        </w:rPr>
        <w:t xml:space="preserve">En éste punto se encuentra el </w:t>
      </w:r>
      <w:r w:rsidR="001E07F2" w:rsidRPr="001E07F2">
        <w:rPr>
          <w:sz w:val="24"/>
          <w:szCs w:val="24"/>
        </w:rPr>
        <w:t xml:space="preserve">modelo de gestión </w:t>
      </w:r>
      <w:proofErr w:type="spellStart"/>
      <w:r w:rsidR="001E07F2" w:rsidRPr="001E07F2">
        <w:rPr>
          <w:sz w:val="24"/>
          <w:szCs w:val="24"/>
        </w:rPr>
        <w:t>reputacional</w:t>
      </w:r>
      <w:proofErr w:type="spellEnd"/>
      <w:r w:rsidR="001E07F2" w:rsidRPr="001E07F2">
        <w:rPr>
          <w:sz w:val="24"/>
          <w:szCs w:val="24"/>
        </w:rPr>
        <w:t xml:space="preserve"> implementado por Villafañe &amp; Asociados, el cual consta de cuatro etapas sucesivas, las cuales son: </w:t>
      </w:r>
    </w:p>
    <w:p w:rsidR="001E07F2" w:rsidRPr="001E07F2" w:rsidRDefault="001E07F2" w:rsidP="001E07F2">
      <w:pPr>
        <w:spacing w:after="0" w:line="240" w:lineRule="auto"/>
        <w:jc w:val="both"/>
        <w:rPr>
          <w:sz w:val="24"/>
          <w:szCs w:val="24"/>
        </w:rPr>
      </w:pPr>
    </w:p>
    <w:p w:rsidR="001E07F2" w:rsidRPr="001E07F2" w:rsidRDefault="001E07F2" w:rsidP="001E07F2">
      <w:pPr>
        <w:numPr>
          <w:ilvl w:val="0"/>
          <w:numId w:val="11"/>
        </w:numPr>
        <w:spacing w:after="0" w:line="240" w:lineRule="auto"/>
        <w:contextualSpacing/>
        <w:jc w:val="both"/>
        <w:rPr>
          <w:sz w:val="24"/>
          <w:szCs w:val="24"/>
        </w:rPr>
      </w:pPr>
      <w:r w:rsidRPr="001E07F2">
        <w:rPr>
          <w:sz w:val="24"/>
          <w:szCs w:val="24"/>
        </w:rPr>
        <w:t>Definición de la vis</w:t>
      </w:r>
      <w:r w:rsidR="00694622">
        <w:rPr>
          <w:sz w:val="24"/>
          <w:szCs w:val="24"/>
        </w:rPr>
        <w:t xml:space="preserve">ión </w:t>
      </w:r>
      <w:proofErr w:type="spellStart"/>
      <w:r w:rsidR="00694622">
        <w:rPr>
          <w:sz w:val="24"/>
          <w:szCs w:val="24"/>
        </w:rPr>
        <w:t>reputacional</w:t>
      </w:r>
      <w:proofErr w:type="spellEnd"/>
      <w:r w:rsidR="00694622">
        <w:rPr>
          <w:sz w:val="24"/>
          <w:szCs w:val="24"/>
        </w:rPr>
        <w:t xml:space="preserve"> de la compañía: T</w:t>
      </w:r>
      <w:r w:rsidR="00694622" w:rsidRPr="001E07F2">
        <w:rPr>
          <w:sz w:val="24"/>
          <w:szCs w:val="24"/>
        </w:rPr>
        <w:t xml:space="preserve">iene como objetivo principal definir y  formular la visión que la alta dirección de la compañía tiene sobre lo que ésta necesita para poder tener el éxito deseado y de igual manera poder llegar al liderazgo </w:t>
      </w:r>
      <w:proofErr w:type="spellStart"/>
      <w:r w:rsidR="00694622" w:rsidRPr="001E07F2">
        <w:rPr>
          <w:sz w:val="24"/>
          <w:szCs w:val="24"/>
        </w:rPr>
        <w:t>reputacional</w:t>
      </w:r>
      <w:proofErr w:type="spellEnd"/>
    </w:p>
    <w:p w:rsidR="001E07F2" w:rsidRPr="001E07F2" w:rsidRDefault="001E07F2" w:rsidP="001E07F2">
      <w:pPr>
        <w:numPr>
          <w:ilvl w:val="0"/>
          <w:numId w:val="11"/>
        </w:numPr>
        <w:spacing w:after="0" w:line="240" w:lineRule="auto"/>
        <w:contextualSpacing/>
        <w:jc w:val="both"/>
        <w:rPr>
          <w:sz w:val="24"/>
          <w:szCs w:val="24"/>
        </w:rPr>
      </w:pPr>
      <w:r w:rsidRPr="001E07F2">
        <w:rPr>
          <w:sz w:val="24"/>
          <w:szCs w:val="24"/>
        </w:rPr>
        <w:t xml:space="preserve">Diagnóstico </w:t>
      </w:r>
      <w:proofErr w:type="spellStart"/>
      <w:r w:rsidRPr="001E07F2">
        <w:rPr>
          <w:sz w:val="24"/>
          <w:szCs w:val="24"/>
        </w:rPr>
        <w:t>reputacional</w:t>
      </w:r>
      <w:proofErr w:type="spellEnd"/>
      <w:r w:rsidRPr="001E07F2">
        <w:rPr>
          <w:sz w:val="24"/>
          <w:szCs w:val="24"/>
        </w:rPr>
        <w:t xml:space="preserve"> de la compañía y benchmarking de la competencia.</w:t>
      </w:r>
    </w:p>
    <w:p w:rsidR="001E07F2" w:rsidRPr="001E07F2" w:rsidRDefault="001E07F2" w:rsidP="001E07F2">
      <w:pPr>
        <w:numPr>
          <w:ilvl w:val="0"/>
          <w:numId w:val="11"/>
        </w:numPr>
        <w:spacing w:after="0" w:line="240" w:lineRule="auto"/>
        <w:contextualSpacing/>
        <w:jc w:val="both"/>
        <w:rPr>
          <w:sz w:val="24"/>
          <w:szCs w:val="24"/>
        </w:rPr>
      </w:pPr>
      <w:r w:rsidRPr="001E07F2">
        <w:rPr>
          <w:sz w:val="24"/>
          <w:szCs w:val="24"/>
        </w:rPr>
        <w:t xml:space="preserve">Ejecución del plan director de reptación corporativa. </w:t>
      </w:r>
    </w:p>
    <w:p w:rsidR="001E07F2" w:rsidRPr="001E07F2" w:rsidRDefault="001E07F2" w:rsidP="001E07F2">
      <w:pPr>
        <w:numPr>
          <w:ilvl w:val="0"/>
          <w:numId w:val="11"/>
        </w:numPr>
        <w:spacing w:after="0" w:line="240" w:lineRule="auto"/>
        <w:contextualSpacing/>
        <w:jc w:val="both"/>
        <w:rPr>
          <w:sz w:val="24"/>
          <w:szCs w:val="24"/>
        </w:rPr>
      </w:pPr>
      <w:r w:rsidRPr="001E07F2">
        <w:rPr>
          <w:sz w:val="24"/>
          <w:szCs w:val="24"/>
        </w:rPr>
        <w:t>La comunicación de la reputación.</w:t>
      </w:r>
    </w:p>
    <w:p w:rsidR="001E07F2" w:rsidRPr="001E07F2" w:rsidRDefault="001E07F2" w:rsidP="001E07F2">
      <w:pPr>
        <w:spacing w:after="0" w:line="240" w:lineRule="auto"/>
        <w:jc w:val="both"/>
        <w:rPr>
          <w:sz w:val="24"/>
          <w:szCs w:val="24"/>
        </w:rPr>
      </w:pPr>
    </w:p>
    <w:p w:rsidR="001E07F2" w:rsidRPr="001E07F2" w:rsidRDefault="001E07F2" w:rsidP="00694622">
      <w:pPr>
        <w:spacing w:after="0" w:line="240" w:lineRule="auto"/>
        <w:jc w:val="both"/>
        <w:rPr>
          <w:sz w:val="24"/>
          <w:szCs w:val="24"/>
        </w:rPr>
      </w:pPr>
    </w:p>
    <w:p w:rsidR="0054344E" w:rsidRDefault="001E07F2" w:rsidP="0054344E">
      <w:pPr>
        <w:pStyle w:val="Prrafodelista"/>
        <w:numPr>
          <w:ilvl w:val="0"/>
          <w:numId w:val="1"/>
        </w:numPr>
        <w:spacing w:after="0" w:line="240" w:lineRule="auto"/>
        <w:rPr>
          <w:b/>
          <w:color w:val="0070C0"/>
          <w:sz w:val="24"/>
          <w:szCs w:val="24"/>
        </w:rPr>
      </w:pPr>
      <w:r w:rsidRPr="001E07F2">
        <w:rPr>
          <w:b/>
          <w:color w:val="0070C0"/>
          <w:sz w:val="24"/>
          <w:szCs w:val="24"/>
        </w:rPr>
        <w:t>L</w:t>
      </w:r>
      <w:r w:rsidRPr="001E07F2">
        <w:rPr>
          <w:b/>
          <w:color w:val="0070C0"/>
          <w:sz w:val="24"/>
          <w:szCs w:val="24"/>
        </w:rPr>
        <w:t>a comunicación de la reputación</w:t>
      </w:r>
    </w:p>
    <w:p w:rsidR="0054344E" w:rsidRDefault="0054344E" w:rsidP="0054344E">
      <w:pPr>
        <w:spacing w:after="0" w:line="240" w:lineRule="auto"/>
        <w:ind w:left="360"/>
        <w:rPr>
          <w:sz w:val="24"/>
          <w:szCs w:val="24"/>
        </w:rPr>
      </w:pPr>
    </w:p>
    <w:p w:rsidR="001E07F2" w:rsidRDefault="001E07F2" w:rsidP="001C0021">
      <w:pPr>
        <w:spacing w:after="0" w:line="240" w:lineRule="auto"/>
        <w:rPr>
          <w:sz w:val="24"/>
          <w:szCs w:val="24"/>
        </w:rPr>
      </w:pPr>
      <w:r w:rsidRPr="0054344E">
        <w:rPr>
          <w:sz w:val="24"/>
          <w:szCs w:val="24"/>
        </w:rPr>
        <w:t>La reputación que no se comunica no genera ningún tipo de valor para la empresa</w:t>
      </w:r>
      <w:r w:rsidR="001C0021">
        <w:rPr>
          <w:sz w:val="24"/>
          <w:szCs w:val="24"/>
        </w:rPr>
        <w:t xml:space="preserve"> por tal motivo es tan importante</w:t>
      </w:r>
      <w:r w:rsidRPr="0054344E">
        <w:rPr>
          <w:sz w:val="24"/>
          <w:szCs w:val="24"/>
        </w:rPr>
        <w:t>. El plan de comunicación lo que pretende es multiplicar el efecto de la implementación del Plan director de reputación de la compañía. Dicho plan se diseña en base a una triple dimensión:</w:t>
      </w:r>
    </w:p>
    <w:p w:rsidR="0054344E" w:rsidRDefault="0054344E" w:rsidP="0054344E">
      <w:pPr>
        <w:spacing w:after="0" w:line="240" w:lineRule="auto"/>
        <w:ind w:left="360"/>
        <w:rPr>
          <w:sz w:val="24"/>
          <w:szCs w:val="24"/>
        </w:rPr>
      </w:pPr>
    </w:p>
    <w:p w:rsidR="0054344E" w:rsidRDefault="0054344E" w:rsidP="0054344E">
      <w:pPr>
        <w:pStyle w:val="Prrafodelista"/>
        <w:numPr>
          <w:ilvl w:val="0"/>
          <w:numId w:val="19"/>
        </w:numPr>
        <w:spacing w:after="0" w:line="240" w:lineRule="auto"/>
        <w:rPr>
          <w:b/>
          <w:color w:val="0070C0"/>
          <w:sz w:val="24"/>
          <w:szCs w:val="24"/>
        </w:rPr>
      </w:pPr>
      <w:r>
        <w:rPr>
          <w:b/>
          <w:color w:val="0070C0"/>
          <w:sz w:val="24"/>
          <w:szCs w:val="24"/>
        </w:rPr>
        <w:t>Operativa</w:t>
      </w:r>
    </w:p>
    <w:p w:rsidR="0054344E" w:rsidRDefault="0054344E" w:rsidP="0054344E">
      <w:pPr>
        <w:pStyle w:val="Prrafodelista"/>
        <w:numPr>
          <w:ilvl w:val="0"/>
          <w:numId w:val="19"/>
        </w:numPr>
        <w:spacing w:after="0" w:line="240" w:lineRule="auto"/>
        <w:rPr>
          <w:b/>
          <w:color w:val="0070C0"/>
          <w:sz w:val="24"/>
          <w:szCs w:val="24"/>
        </w:rPr>
      </w:pPr>
      <w:r>
        <w:rPr>
          <w:b/>
          <w:color w:val="0070C0"/>
          <w:sz w:val="24"/>
          <w:szCs w:val="24"/>
        </w:rPr>
        <w:t>Estratégica</w:t>
      </w:r>
    </w:p>
    <w:p w:rsidR="0054344E" w:rsidRPr="0054344E" w:rsidRDefault="0054344E" w:rsidP="0054344E">
      <w:pPr>
        <w:pStyle w:val="Prrafodelista"/>
        <w:numPr>
          <w:ilvl w:val="0"/>
          <w:numId w:val="19"/>
        </w:numPr>
        <w:spacing w:after="0" w:line="240" w:lineRule="auto"/>
        <w:rPr>
          <w:b/>
          <w:color w:val="0070C0"/>
          <w:sz w:val="24"/>
          <w:szCs w:val="24"/>
        </w:rPr>
      </w:pPr>
      <w:r>
        <w:rPr>
          <w:b/>
          <w:color w:val="0070C0"/>
          <w:sz w:val="24"/>
          <w:szCs w:val="24"/>
        </w:rPr>
        <w:t>Instrumental</w:t>
      </w:r>
    </w:p>
    <w:p w:rsidR="001E07F2" w:rsidRPr="001E07F2" w:rsidRDefault="001E07F2" w:rsidP="001E07F2">
      <w:pPr>
        <w:spacing w:after="0" w:line="240" w:lineRule="auto"/>
        <w:jc w:val="both"/>
        <w:rPr>
          <w:sz w:val="24"/>
          <w:szCs w:val="24"/>
        </w:rPr>
      </w:pPr>
    </w:p>
    <w:p w:rsidR="001E07F2" w:rsidRPr="001E07F2" w:rsidRDefault="001C0021" w:rsidP="001E07F2">
      <w:pPr>
        <w:spacing w:after="0" w:line="240" w:lineRule="auto"/>
        <w:jc w:val="both"/>
        <w:rPr>
          <w:sz w:val="24"/>
          <w:szCs w:val="24"/>
        </w:rPr>
      </w:pPr>
      <w:r>
        <w:rPr>
          <w:sz w:val="24"/>
          <w:szCs w:val="24"/>
        </w:rPr>
        <w:t>Así de ésta manera permite permear todas y cada una de las áreas funcionales de la empresa.</w:t>
      </w:r>
      <w:bookmarkStart w:id="0" w:name="_GoBack"/>
      <w:bookmarkEnd w:id="0"/>
    </w:p>
    <w:p w:rsidR="001E07F2" w:rsidRPr="001E07F2" w:rsidRDefault="001E07F2" w:rsidP="001E07F2">
      <w:pPr>
        <w:spacing w:after="0" w:line="240" w:lineRule="auto"/>
        <w:jc w:val="both"/>
        <w:rPr>
          <w:sz w:val="24"/>
          <w:szCs w:val="24"/>
        </w:rPr>
      </w:pPr>
    </w:p>
    <w:p w:rsidR="001E07F2" w:rsidRPr="001E07F2" w:rsidRDefault="001E07F2" w:rsidP="001E07F2">
      <w:pPr>
        <w:spacing w:after="0" w:line="240" w:lineRule="auto"/>
        <w:jc w:val="both"/>
        <w:rPr>
          <w:sz w:val="24"/>
          <w:szCs w:val="24"/>
        </w:rPr>
      </w:pPr>
    </w:p>
    <w:p w:rsidR="001E07F2" w:rsidRPr="001E07F2" w:rsidRDefault="001E07F2" w:rsidP="001E07F2">
      <w:pPr>
        <w:spacing w:after="0" w:line="240" w:lineRule="auto"/>
        <w:jc w:val="both"/>
        <w:rPr>
          <w:sz w:val="24"/>
          <w:szCs w:val="24"/>
        </w:rPr>
      </w:pPr>
    </w:p>
    <w:p w:rsidR="001E07F2" w:rsidRPr="001E07F2" w:rsidRDefault="001E07F2" w:rsidP="001E07F2">
      <w:pPr>
        <w:spacing w:after="0" w:line="240" w:lineRule="auto"/>
        <w:jc w:val="both"/>
        <w:rPr>
          <w:sz w:val="24"/>
          <w:szCs w:val="24"/>
        </w:rPr>
      </w:pPr>
      <w:r w:rsidRPr="001E07F2">
        <w:rPr>
          <w:sz w:val="24"/>
          <w:szCs w:val="24"/>
        </w:rPr>
        <w:t xml:space="preserve">Fuente: </w:t>
      </w:r>
    </w:p>
    <w:p w:rsidR="001E07F2" w:rsidRPr="001E07F2" w:rsidRDefault="001E07F2" w:rsidP="001E07F2">
      <w:pPr>
        <w:spacing w:after="0" w:line="240" w:lineRule="auto"/>
        <w:jc w:val="both"/>
        <w:rPr>
          <w:sz w:val="24"/>
          <w:szCs w:val="24"/>
        </w:rPr>
      </w:pPr>
    </w:p>
    <w:p w:rsidR="001E07F2" w:rsidRPr="001E07F2" w:rsidRDefault="001E07F2" w:rsidP="001E07F2">
      <w:pPr>
        <w:spacing w:after="0" w:line="240" w:lineRule="auto"/>
        <w:jc w:val="both"/>
        <w:rPr>
          <w:sz w:val="24"/>
          <w:szCs w:val="24"/>
        </w:rPr>
      </w:pPr>
      <w:r w:rsidRPr="001E07F2">
        <w:rPr>
          <w:sz w:val="24"/>
          <w:szCs w:val="24"/>
        </w:rPr>
        <w:t>VILLAFAÑE, Justo. “La Buena reputación”. Claves del valor intangible de las empresas. Ediciones Pirámide.</w:t>
      </w:r>
    </w:p>
    <w:p w:rsidR="001E07F2" w:rsidRPr="001E07F2" w:rsidRDefault="001E07F2" w:rsidP="001E07F2">
      <w:pPr>
        <w:spacing w:after="0" w:line="240" w:lineRule="auto"/>
        <w:jc w:val="both"/>
        <w:rPr>
          <w:sz w:val="24"/>
          <w:szCs w:val="24"/>
        </w:rPr>
      </w:pPr>
    </w:p>
    <w:p w:rsidR="001E07F2" w:rsidRPr="001E07F2" w:rsidRDefault="001E07F2" w:rsidP="001E07F2">
      <w:pPr>
        <w:spacing w:after="0" w:line="240" w:lineRule="auto"/>
        <w:rPr>
          <w:sz w:val="24"/>
          <w:szCs w:val="24"/>
        </w:rPr>
      </w:pPr>
    </w:p>
    <w:sectPr w:rsidR="001E07F2" w:rsidRPr="001E07F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69EE" w:rsidRDefault="009269EE" w:rsidP="001E07F2">
      <w:pPr>
        <w:spacing w:after="0" w:line="240" w:lineRule="auto"/>
      </w:pPr>
      <w:r>
        <w:separator/>
      </w:r>
    </w:p>
  </w:endnote>
  <w:endnote w:type="continuationSeparator" w:id="0">
    <w:p w:rsidR="009269EE" w:rsidRDefault="009269EE" w:rsidP="001E07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69EE" w:rsidRDefault="009269EE" w:rsidP="001E07F2">
      <w:pPr>
        <w:spacing w:after="0" w:line="240" w:lineRule="auto"/>
      </w:pPr>
      <w:r>
        <w:separator/>
      </w:r>
    </w:p>
  </w:footnote>
  <w:footnote w:type="continuationSeparator" w:id="0">
    <w:p w:rsidR="009269EE" w:rsidRDefault="009269EE" w:rsidP="001E07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9.75pt;height:9.75pt" o:bullet="t">
        <v:imagedata r:id="rId1" o:title="BD21301_"/>
      </v:shape>
    </w:pict>
  </w:numPicBullet>
  <w:abstractNum w:abstractNumId="0">
    <w:nsid w:val="0351664E"/>
    <w:multiLevelType w:val="hybridMultilevel"/>
    <w:tmpl w:val="2DD224B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0CF24A54"/>
    <w:multiLevelType w:val="hybridMultilevel"/>
    <w:tmpl w:val="87F8C8C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0FC072C2"/>
    <w:multiLevelType w:val="multilevel"/>
    <w:tmpl w:val="6A78071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nsid w:val="0FC11139"/>
    <w:multiLevelType w:val="hybridMultilevel"/>
    <w:tmpl w:val="CE4E2772"/>
    <w:lvl w:ilvl="0" w:tplc="5516BC48">
      <w:start w:val="1"/>
      <w:numFmt w:val="bullet"/>
      <w:lvlText w:val=""/>
      <w:lvlPicBulletId w:val="0"/>
      <w:lvlJc w:val="left"/>
      <w:pPr>
        <w:ind w:left="1080" w:hanging="360"/>
      </w:pPr>
      <w:rPr>
        <w:rFonts w:ascii="Symbol" w:hAnsi="Symbol" w:hint="default"/>
        <w:color w:val="auto"/>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nsid w:val="152200C1"/>
    <w:multiLevelType w:val="hybridMultilevel"/>
    <w:tmpl w:val="91E234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8397863"/>
    <w:multiLevelType w:val="hybridMultilevel"/>
    <w:tmpl w:val="7214C33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2796526E"/>
    <w:multiLevelType w:val="hybridMultilevel"/>
    <w:tmpl w:val="053AD65A"/>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nsid w:val="2EBD37C6"/>
    <w:multiLevelType w:val="hybridMultilevel"/>
    <w:tmpl w:val="EDB4D07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nsid w:val="367C03F3"/>
    <w:multiLevelType w:val="hybridMultilevel"/>
    <w:tmpl w:val="73E0CE78"/>
    <w:lvl w:ilvl="0" w:tplc="040A000F">
      <w:start w:val="1"/>
      <w:numFmt w:val="upperRoman"/>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nsid w:val="3FD91744"/>
    <w:multiLevelType w:val="multilevel"/>
    <w:tmpl w:val="47B08A48"/>
    <w:lvl w:ilvl="0">
      <w:start w:val="1"/>
      <w:numFmt w:val="decimal"/>
      <w:lvlText w:val="%1."/>
      <w:lvlJc w:val="left"/>
      <w:pPr>
        <w:tabs>
          <w:tab w:val="num" w:pos="720"/>
        </w:tabs>
        <w:ind w:left="720" w:hanging="360"/>
      </w:p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4AB304D7"/>
    <w:multiLevelType w:val="hybridMultilevel"/>
    <w:tmpl w:val="A8EE5B46"/>
    <w:lvl w:ilvl="0" w:tplc="040A000F">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nsid w:val="521959FF"/>
    <w:multiLevelType w:val="multilevel"/>
    <w:tmpl w:val="9F1EECF4"/>
    <w:lvl w:ilvl="0">
      <w:start w:val="1"/>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nsid w:val="5A553569"/>
    <w:multiLevelType w:val="hybridMultilevel"/>
    <w:tmpl w:val="5EDA4B7A"/>
    <w:lvl w:ilvl="0" w:tplc="CA5E2EE4">
      <w:start w:val="1"/>
      <w:numFmt w:val="decimal"/>
      <w:lvlText w:val="%1."/>
      <w:lvlJc w:val="left"/>
      <w:pPr>
        <w:ind w:left="146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nsid w:val="60AB5D7A"/>
    <w:multiLevelType w:val="hybridMultilevel"/>
    <w:tmpl w:val="BF7C71D0"/>
    <w:lvl w:ilvl="0" w:tplc="B4C43976">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EC25269"/>
    <w:multiLevelType w:val="hybridMultilevel"/>
    <w:tmpl w:val="AE7AF0B4"/>
    <w:lvl w:ilvl="0" w:tplc="040A000F">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15">
    <w:nsid w:val="756A4490"/>
    <w:multiLevelType w:val="hybridMultilevel"/>
    <w:tmpl w:val="DF44C29A"/>
    <w:lvl w:ilvl="0" w:tplc="0409000F">
      <w:start w:val="1"/>
      <w:numFmt w:val="decimal"/>
      <w:lvlText w:val="%1."/>
      <w:lvlJc w:val="left"/>
      <w:pPr>
        <w:tabs>
          <w:tab w:val="num" w:pos="720"/>
        </w:tabs>
        <w:ind w:left="720" w:hanging="360"/>
      </w:pPr>
    </w:lvl>
    <w:lvl w:ilvl="1" w:tplc="080A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8693029"/>
    <w:multiLevelType w:val="hybridMultilevel"/>
    <w:tmpl w:val="BA92F950"/>
    <w:lvl w:ilvl="0" w:tplc="040A0001">
      <w:start w:val="1"/>
      <w:numFmt w:val="bullet"/>
      <w:lvlText w:val=""/>
      <w:lvlJc w:val="left"/>
      <w:pPr>
        <w:ind w:left="780" w:hanging="360"/>
      </w:pPr>
      <w:rPr>
        <w:rFonts w:ascii="Symbol" w:hAnsi="Symbol" w:hint="default"/>
      </w:rPr>
    </w:lvl>
    <w:lvl w:ilvl="1" w:tplc="040A0003" w:tentative="1">
      <w:start w:val="1"/>
      <w:numFmt w:val="bullet"/>
      <w:lvlText w:val="o"/>
      <w:lvlJc w:val="left"/>
      <w:pPr>
        <w:ind w:left="1500" w:hanging="360"/>
      </w:pPr>
      <w:rPr>
        <w:rFonts w:ascii="Courier New" w:hAnsi="Courier New" w:hint="default"/>
      </w:rPr>
    </w:lvl>
    <w:lvl w:ilvl="2" w:tplc="040A0005" w:tentative="1">
      <w:start w:val="1"/>
      <w:numFmt w:val="bullet"/>
      <w:lvlText w:val=""/>
      <w:lvlJc w:val="left"/>
      <w:pPr>
        <w:ind w:left="2220" w:hanging="360"/>
      </w:pPr>
      <w:rPr>
        <w:rFonts w:ascii="Wingdings" w:hAnsi="Wingdings" w:hint="default"/>
      </w:rPr>
    </w:lvl>
    <w:lvl w:ilvl="3" w:tplc="040A0001" w:tentative="1">
      <w:start w:val="1"/>
      <w:numFmt w:val="bullet"/>
      <w:lvlText w:val=""/>
      <w:lvlJc w:val="left"/>
      <w:pPr>
        <w:ind w:left="2940" w:hanging="360"/>
      </w:pPr>
      <w:rPr>
        <w:rFonts w:ascii="Symbol" w:hAnsi="Symbol" w:hint="default"/>
      </w:rPr>
    </w:lvl>
    <w:lvl w:ilvl="4" w:tplc="040A0003" w:tentative="1">
      <w:start w:val="1"/>
      <w:numFmt w:val="bullet"/>
      <w:lvlText w:val="o"/>
      <w:lvlJc w:val="left"/>
      <w:pPr>
        <w:ind w:left="3660" w:hanging="360"/>
      </w:pPr>
      <w:rPr>
        <w:rFonts w:ascii="Courier New" w:hAnsi="Courier New" w:hint="default"/>
      </w:rPr>
    </w:lvl>
    <w:lvl w:ilvl="5" w:tplc="040A0005" w:tentative="1">
      <w:start w:val="1"/>
      <w:numFmt w:val="bullet"/>
      <w:lvlText w:val=""/>
      <w:lvlJc w:val="left"/>
      <w:pPr>
        <w:ind w:left="4380" w:hanging="360"/>
      </w:pPr>
      <w:rPr>
        <w:rFonts w:ascii="Wingdings" w:hAnsi="Wingdings" w:hint="default"/>
      </w:rPr>
    </w:lvl>
    <w:lvl w:ilvl="6" w:tplc="040A0001" w:tentative="1">
      <w:start w:val="1"/>
      <w:numFmt w:val="bullet"/>
      <w:lvlText w:val=""/>
      <w:lvlJc w:val="left"/>
      <w:pPr>
        <w:ind w:left="5100" w:hanging="360"/>
      </w:pPr>
      <w:rPr>
        <w:rFonts w:ascii="Symbol" w:hAnsi="Symbol" w:hint="default"/>
      </w:rPr>
    </w:lvl>
    <w:lvl w:ilvl="7" w:tplc="040A0003" w:tentative="1">
      <w:start w:val="1"/>
      <w:numFmt w:val="bullet"/>
      <w:lvlText w:val="o"/>
      <w:lvlJc w:val="left"/>
      <w:pPr>
        <w:ind w:left="5820" w:hanging="360"/>
      </w:pPr>
      <w:rPr>
        <w:rFonts w:ascii="Courier New" w:hAnsi="Courier New" w:hint="default"/>
      </w:rPr>
    </w:lvl>
    <w:lvl w:ilvl="8" w:tplc="040A0005" w:tentative="1">
      <w:start w:val="1"/>
      <w:numFmt w:val="bullet"/>
      <w:lvlText w:val=""/>
      <w:lvlJc w:val="left"/>
      <w:pPr>
        <w:ind w:left="6540" w:hanging="360"/>
      </w:pPr>
      <w:rPr>
        <w:rFonts w:ascii="Wingdings" w:hAnsi="Wingdings" w:hint="default"/>
      </w:rPr>
    </w:lvl>
  </w:abstractNum>
  <w:abstractNum w:abstractNumId="17">
    <w:nsid w:val="7E4562D9"/>
    <w:multiLevelType w:val="multilevel"/>
    <w:tmpl w:val="D9A87DC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7FEC4D24"/>
    <w:multiLevelType w:val="multilevel"/>
    <w:tmpl w:val="87C034C6"/>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13"/>
  </w:num>
  <w:num w:numId="2">
    <w:abstractNumId w:val="14"/>
  </w:num>
  <w:num w:numId="3">
    <w:abstractNumId w:val="9"/>
  </w:num>
  <w:num w:numId="4">
    <w:abstractNumId w:val="15"/>
  </w:num>
  <w:num w:numId="5">
    <w:abstractNumId w:val="17"/>
  </w:num>
  <w:num w:numId="6">
    <w:abstractNumId w:val="4"/>
  </w:num>
  <w:num w:numId="7">
    <w:abstractNumId w:val="18"/>
  </w:num>
  <w:num w:numId="8">
    <w:abstractNumId w:val="5"/>
  </w:num>
  <w:num w:numId="9">
    <w:abstractNumId w:val="2"/>
  </w:num>
  <w:num w:numId="10">
    <w:abstractNumId w:val="0"/>
  </w:num>
  <w:num w:numId="11">
    <w:abstractNumId w:val="6"/>
  </w:num>
  <w:num w:numId="12">
    <w:abstractNumId w:val="7"/>
  </w:num>
  <w:num w:numId="13">
    <w:abstractNumId w:val="8"/>
  </w:num>
  <w:num w:numId="14">
    <w:abstractNumId w:val="10"/>
  </w:num>
  <w:num w:numId="15">
    <w:abstractNumId w:val="12"/>
  </w:num>
  <w:num w:numId="16">
    <w:abstractNumId w:val="1"/>
  </w:num>
  <w:num w:numId="17">
    <w:abstractNumId w:val="16"/>
  </w:num>
  <w:num w:numId="18">
    <w:abstractNumId w:val="11"/>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29A6"/>
    <w:rsid w:val="00030681"/>
    <w:rsid w:val="00135C5B"/>
    <w:rsid w:val="001C0021"/>
    <w:rsid w:val="001E07F2"/>
    <w:rsid w:val="00217920"/>
    <w:rsid w:val="00287966"/>
    <w:rsid w:val="003E097B"/>
    <w:rsid w:val="003E29A6"/>
    <w:rsid w:val="0054344E"/>
    <w:rsid w:val="005C491A"/>
    <w:rsid w:val="00640D3F"/>
    <w:rsid w:val="00656FA7"/>
    <w:rsid w:val="00694622"/>
    <w:rsid w:val="00781042"/>
    <w:rsid w:val="00845941"/>
    <w:rsid w:val="009269EE"/>
    <w:rsid w:val="00A76263"/>
    <w:rsid w:val="00B33E0D"/>
    <w:rsid w:val="00C64CD5"/>
    <w:rsid w:val="00CC534F"/>
    <w:rsid w:val="00D86C17"/>
    <w:rsid w:val="00E236EA"/>
    <w:rsid w:val="00E25D91"/>
    <w:rsid w:val="00E413AB"/>
    <w:rsid w:val="00F05944"/>
    <w:rsid w:val="00F8688E"/>
    <w:rsid w:val="00FB1488"/>
    <w:rsid w:val="00FF642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E29A6"/>
    <w:pPr>
      <w:ind w:left="720"/>
      <w:contextualSpacing/>
    </w:pPr>
  </w:style>
  <w:style w:type="paragraph" w:styleId="Textoindependiente">
    <w:name w:val="Body Text"/>
    <w:basedOn w:val="Normal"/>
    <w:link w:val="TextoindependienteCar"/>
    <w:semiHidden/>
    <w:rsid w:val="00C64CD5"/>
    <w:pPr>
      <w:spacing w:after="0" w:line="240" w:lineRule="auto"/>
      <w:jc w:val="both"/>
    </w:pPr>
    <w:rPr>
      <w:rFonts w:ascii="Times New Roman" w:eastAsia="Times New Roman" w:hAnsi="Times New Roman" w:cs="Times New Roman"/>
      <w:sz w:val="24"/>
      <w:szCs w:val="24"/>
    </w:rPr>
  </w:style>
  <w:style w:type="character" w:customStyle="1" w:styleId="TextoindependienteCar">
    <w:name w:val="Texto independiente Car"/>
    <w:basedOn w:val="Fuentedeprrafopredeter"/>
    <w:link w:val="Textoindependiente"/>
    <w:semiHidden/>
    <w:rsid w:val="00C64CD5"/>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F8688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688E"/>
    <w:rPr>
      <w:rFonts w:ascii="Tahoma" w:hAnsi="Tahoma" w:cs="Tahoma"/>
      <w:sz w:val="16"/>
      <w:szCs w:val="16"/>
    </w:rPr>
  </w:style>
  <w:style w:type="paragraph" w:styleId="Textoindependiente2">
    <w:name w:val="Body Text 2"/>
    <w:basedOn w:val="Normal"/>
    <w:link w:val="Textoindependiente2Car"/>
    <w:uiPriority w:val="99"/>
    <w:semiHidden/>
    <w:unhideWhenUsed/>
    <w:rsid w:val="003E097B"/>
    <w:pPr>
      <w:spacing w:after="120" w:line="480" w:lineRule="auto"/>
    </w:pPr>
  </w:style>
  <w:style w:type="character" w:customStyle="1" w:styleId="Textoindependiente2Car">
    <w:name w:val="Texto independiente 2 Car"/>
    <w:basedOn w:val="Fuentedeprrafopredeter"/>
    <w:link w:val="Textoindependiente2"/>
    <w:uiPriority w:val="99"/>
    <w:semiHidden/>
    <w:rsid w:val="003E097B"/>
  </w:style>
  <w:style w:type="paragraph" w:styleId="Encabezado">
    <w:name w:val="header"/>
    <w:basedOn w:val="Normal"/>
    <w:link w:val="EncabezadoCar"/>
    <w:uiPriority w:val="99"/>
    <w:unhideWhenUsed/>
    <w:rsid w:val="001E07F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E07F2"/>
  </w:style>
  <w:style w:type="paragraph" w:styleId="Piedepgina">
    <w:name w:val="footer"/>
    <w:basedOn w:val="Normal"/>
    <w:link w:val="PiedepginaCar"/>
    <w:uiPriority w:val="99"/>
    <w:unhideWhenUsed/>
    <w:rsid w:val="001E07F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E07F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E29A6"/>
    <w:pPr>
      <w:ind w:left="720"/>
      <w:contextualSpacing/>
    </w:pPr>
  </w:style>
  <w:style w:type="paragraph" w:styleId="Textoindependiente">
    <w:name w:val="Body Text"/>
    <w:basedOn w:val="Normal"/>
    <w:link w:val="TextoindependienteCar"/>
    <w:semiHidden/>
    <w:rsid w:val="00C64CD5"/>
    <w:pPr>
      <w:spacing w:after="0" w:line="240" w:lineRule="auto"/>
      <w:jc w:val="both"/>
    </w:pPr>
    <w:rPr>
      <w:rFonts w:ascii="Times New Roman" w:eastAsia="Times New Roman" w:hAnsi="Times New Roman" w:cs="Times New Roman"/>
      <w:sz w:val="24"/>
      <w:szCs w:val="24"/>
    </w:rPr>
  </w:style>
  <w:style w:type="character" w:customStyle="1" w:styleId="TextoindependienteCar">
    <w:name w:val="Texto independiente Car"/>
    <w:basedOn w:val="Fuentedeprrafopredeter"/>
    <w:link w:val="Textoindependiente"/>
    <w:semiHidden/>
    <w:rsid w:val="00C64CD5"/>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F8688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688E"/>
    <w:rPr>
      <w:rFonts w:ascii="Tahoma" w:hAnsi="Tahoma" w:cs="Tahoma"/>
      <w:sz w:val="16"/>
      <w:szCs w:val="16"/>
    </w:rPr>
  </w:style>
  <w:style w:type="paragraph" w:styleId="Textoindependiente2">
    <w:name w:val="Body Text 2"/>
    <w:basedOn w:val="Normal"/>
    <w:link w:val="Textoindependiente2Car"/>
    <w:uiPriority w:val="99"/>
    <w:semiHidden/>
    <w:unhideWhenUsed/>
    <w:rsid w:val="003E097B"/>
    <w:pPr>
      <w:spacing w:after="120" w:line="480" w:lineRule="auto"/>
    </w:pPr>
  </w:style>
  <w:style w:type="character" w:customStyle="1" w:styleId="Textoindependiente2Car">
    <w:name w:val="Texto independiente 2 Car"/>
    <w:basedOn w:val="Fuentedeprrafopredeter"/>
    <w:link w:val="Textoindependiente2"/>
    <w:uiPriority w:val="99"/>
    <w:semiHidden/>
    <w:rsid w:val="003E097B"/>
  </w:style>
  <w:style w:type="paragraph" w:styleId="Encabezado">
    <w:name w:val="header"/>
    <w:basedOn w:val="Normal"/>
    <w:link w:val="EncabezadoCar"/>
    <w:uiPriority w:val="99"/>
    <w:unhideWhenUsed/>
    <w:rsid w:val="001E07F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E07F2"/>
  </w:style>
  <w:style w:type="paragraph" w:styleId="Piedepgina">
    <w:name w:val="footer"/>
    <w:basedOn w:val="Normal"/>
    <w:link w:val="PiedepginaCar"/>
    <w:uiPriority w:val="99"/>
    <w:unhideWhenUsed/>
    <w:rsid w:val="001E07F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E07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1FC13E6-9DE6-45D9-9EF5-DECF9E72A5BB}" type="doc">
      <dgm:prSet loTypeId="urn:microsoft.com/office/officeart/2005/8/layout/hList1" loCatId="list" qsTypeId="urn:microsoft.com/office/officeart/2005/8/quickstyle/simple1" qsCatId="simple" csTypeId="urn:microsoft.com/office/officeart/2005/8/colors/colorful5" csCatId="colorful" phldr="1"/>
      <dgm:spPr/>
      <dgm:t>
        <a:bodyPr/>
        <a:lstStyle/>
        <a:p>
          <a:endParaRPr lang="es-MX"/>
        </a:p>
      </dgm:t>
    </dgm:pt>
    <dgm:pt modelId="{5959D786-3BE1-48D1-838C-2ACB540A0BBD}">
      <dgm:prSet phldrT="[Texto]" custT="1"/>
      <dgm:spPr/>
      <dgm:t>
        <a:bodyPr/>
        <a:lstStyle/>
        <a:p>
          <a:r>
            <a:rPr lang="es-MX" sz="1100" b="1"/>
            <a:t>Ideología corporativa</a:t>
          </a:r>
        </a:p>
      </dgm:t>
    </dgm:pt>
    <dgm:pt modelId="{C90F889C-438A-44DB-B58D-EC252B6F0C19}" type="parTrans" cxnId="{2FE08BA8-83F4-4137-9AA2-4A021C8AC90F}">
      <dgm:prSet/>
      <dgm:spPr/>
      <dgm:t>
        <a:bodyPr/>
        <a:lstStyle/>
        <a:p>
          <a:endParaRPr lang="es-MX"/>
        </a:p>
      </dgm:t>
    </dgm:pt>
    <dgm:pt modelId="{84D4EA82-AF80-4237-8592-D6C823880078}" type="sibTrans" cxnId="{2FE08BA8-83F4-4137-9AA2-4A021C8AC90F}">
      <dgm:prSet/>
      <dgm:spPr/>
      <dgm:t>
        <a:bodyPr/>
        <a:lstStyle/>
        <a:p>
          <a:endParaRPr lang="es-MX"/>
        </a:p>
      </dgm:t>
    </dgm:pt>
    <dgm:pt modelId="{184DAA8F-A663-4BD4-A7BB-285161649604}">
      <dgm:prSet phldrT="[Texto]" custT="1"/>
      <dgm:spPr/>
      <dgm:t>
        <a:bodyPr/>
        <a:lstStyle/>
        <a:p>
          <a:r>
            <a:rPr lang="es-MX" sz="1000"/>
            <a:t>Conjunto de valores de la cultura que explican el comportamiento de una organización de manera interna y externa convirtiéndose en hábitos de conducta característicos.</a:t>
          </a:r>
        </a:p>
      </dgm:t>
    </dgm:pt>
    <dgm:pt modelId="{050B9063-7DDA-4AD1-9C20-52AD96B8F16C}" type="parTrans" cxnId="{B561004C-4B63-4644-BAFD-4ABDCE2A6757}">
      <dgm:prSet/>
      <dgm:spPr/>
      <dgm:t>
        <a:bodyPr/>
        <a:lstStyle/>
        <a:p>
          <a:endParaRPr lang="es-MX"/>
        </a:p>
      </dgm:t>
    </dgm:pt>
    <dgm:pt modelId="{C89BAE18-6D8D-4D43-B0DB-2B79DFE360A5}" type="sibTrans" cxnId="{B561004C-4B63-4644-BAFD-4ABDCE2A6757}">
      <dgm:prSet/>
      <dgm:spPr/>
      <dgm:t>
        <a:bodyPr/>
        <a:lstStyle/>
        <a:p>
          <a:endParaRPr lang="es-MX"/>
        </a:p>
      </dgm:t>
    </dgm:pt>
    <dgm:pt modelId="{9980AB45-4183-4C85-8D55-C79CC3201FC2}">
      <dgm:prSet phldrT="[Texto]" custT="1"/>
      <dgm:spPr/>
      <dgm:t>
        <a:bodyPr/>
        <a:lstStyle/>
        <a:p>
          <a:r>
            <a:rPr lang="es-MX" sz="1100" b="1"/>
            <a:t>Orientación estratégica</a:t>
          </a:r>
        </a:p>
      </dgm:t>
    </dgm:pt>
    <dgm:pt modelId="{2361F42B-C5B4-46DC-9114-26C42B7251FD}" type="parTrans" cxnId="{5451F89B-16DE-4253-9A2C-18B35817F6EB}">
      <dgm:prSet/>
      <dgm:spPr/>
      <dgm:t>
        <a:bodyPr/>
        <a:lstStyle/>
        <a:p>
          <a:endParaRPr lang="es-MX"/>
        </a:p>
      </dgm:t>
    </dgm:pt>
    <dgm:pt modelId="{AF91ABE2-DD5A-4A0F-AF34-B27FB4B6CD35}" type="sibTrans" cxnId="{5451F89B-16DE-4253-9A2C-18B35817F6EB}">
      <dgm:prSet/>
      <dgm:spPr/>
      <dgm:t>
        <a:bodyPr/>
        <a:lstStyle/>
        <a:p>
          <a:endParaRPr lang="es-MX"/>
        </a:p>
      </dgm:t>
    </dgm:pt>
    <dgm:pt modelId="{FF1FC579-78AD-47E2-BE4F-03F62F2F7B30}">
      <dgm:prSet phldrT="[Texto]"/>
      <dgm:spPr/>
      <dgm:t>
        <a:bodyPr/>
        <a:lstStyle/>
        <a:p>
          <a:r>
            <a:rPr lang="es-MX"/>
            <a:t>Es necesario que ésta se difunda dentro de la organización y tenga un sentido inequívoco para la mayoría de sus miembros</a:t>
          </a:r>
        </a:p>
      </dgm:t>
    </dgm:pt>
    <dgm:pt modelId="{681F0246-54DD-43A9-8890-69389F4E9D23}" type="parTrans" cxnId="{D147D939-3673-4681-B7D3-D62FF681A7E9}">
      <dgm:prSet/>
      <dgm:spPr/>
      <dgm:t>
        <a:bodyPr/>
        <a:lstStyle/>
        <a:p>
          <a:endParaRPr lang="es-MX"/>
        </a:p>
      </dgm:t>
    </dgm:pt>
    <dgm:pt modelId="{F8A560AF-0CB6-47B9-B9E9-0FDD08C5439D}" type="sibTrans" cxnId="{D147D939-3673-4681-B7D3-D62FF681A7E9}">
      <dgm:prSet/>
      <dgm:spPr/>
      <dgm:t>
        <a:bodyPr/>
        <a:lstStyle/>
        <a:p>
          <a:endParaRPr lang="es-MX"/>
        </a:p>
      </dgm:t>
    </dgm:pt>
    <dgm:pt modelId="{F9D2DCFD-9ACB-4F95-9C74-1FE8718B3FFA}">
      <dgm:prSet phldrT="[Texto]" custT="1"/>
      <dgm:spPr/>
      <dgm:t>
        <a:bodyPr/>
        <a:lstStyle/>
        <a:p>
          <a:r>
            <a:rPr lang="es-MX" sz="1200" b="1"/>
            <a:t>Dinámica Cultural</a:t>
          </a:r>
        </a:p>
      </dgm:t>
    </dgm:pt>
    <dgm:pt modelId="{E0FC66F4-B930-4A68-AF04-C5A4E7358A20}" type="parTrans" cxnId="{3008E882-22BF-4B0D-90AE-D57CD155CDF0}">
      <dgm:prSet/>
      <dgm:spPr/>
      <dgm:t>
        <a:bodyPr/>
        <a:lstStyle/>
        <a:p>
          <a:endParaRPr lang="es-MX"/>
        </a:p>
      </dgm:t>
    </dgm:pt>
    <dgm:pt modelId="{99CBC85A-483E-46A9-B0DA-570B70404C75}" type="sibTrans" cxnId="{3008E882-22BF-4B0D-90AE-D57CD155CDF0}">
      <dgm:prSet/>
      <dgm:spPr/>
      <dgm:t>
        <a:bodyPr/>
        <a:lstStyle/>
        <a:p>
          <a:endParaRPr lang="es-MX"/>
        </a:p>
      </dgm:t>
    </dgm:pt>
    <dgm:pt modelId="{2D009997-ADCC-4072-B574-849230F19EE5}">
      <dgm:prSet phldrT="[Texto]"/>
      <dgm:spPr/>
      <dgm:t>
        <a:bodyPr/>
        <a:lstStyle/>
        <a:p>
          <a:r>
            <a:rPr lang="es-MX"/>
            <a:t>Existen distintitos tipos de orientación entre los que se distinguen: -Orientación hacia el cliente</a:t>
          </a:r>
          <a:br>
            <a:rPr lang="es-MX"/>
          </a:br>
          <a:r>
            <a:rPr lang="es-MX"/>
            <a:t>-Orientación hacia la innovación</a:t>
          </a:r>
          <a:br>
            <a:rPr lang="es-MX"/>
          </a:br>
          <a:r>
            <a:rPr lang="es-MX"/>
            <a:t>-Orientación hacia las personas</a:t>
          </a:r>
          <a:br>
            <a:rPr lang="es-MX"/>
          </a:br>
          <a:r>
            <a:rPr lang="es-MX"/>
            <a:t>-Orientación hacia los resultados</a:t>
          </a:r>
          <a:br>
            <a:rPr lang="es-MX"/>
          </a:br>
          <a:r>
            <a:rPr lang="es-MX"/>
            <a:t>-Orientación hacia la empresa</a:t>
          </a:r>
        </a:p>
      </dgm:t>
    </dgm:pt>
    <dgm:pt modelId="{EBAA4B26-82A1-4E96-AC80-9E8103AEB3EC}" type="parTrans" cxnId="{7A963873-56DA-495A-95FC-391566DD28D6}">
      <dgm:prSet/>
      <dgm:spPr/>
    </dgm:pt>
    <dgm:pt modelId="{F2A180AF-202D-41BE-827C-1E8AD28E0936}" type="sibTrans" cxnId="{7A963873-56DA-495A-95FC-391566DD28D6}">
      <dgm:prSet/>
      <dgm:spPr/>
    </dgm:pt>
    <dgm:pt modelId="{B2C48BB6-5CA5-47A5-B99F-5F4126E2A3DF}">
      <dgm:prSet phldrT="[Texto]"/>
      <dgm:spPr/>
      <dgm:t>
        <a:bodyPr/>
        <a:lstStyle/>
        <a:p>
          <a:endParaRPr lang="es-MX"/>
        </a:p>
      </dgm:t>
    </dgm:pt>
    <dgm:pt modelId="{372C1C7D-3EE4-4C51-A0FD-678F4EE31F4A}" type="parTrans" cxnId="{F963CF58-7905-4DC0-809E-97F428619B12}">
      <dgm:prSet/>
      <dgm:spPr/>
    </dgm:pt>
    <dgm:pt modelId="{83C512EA-56E5-48F5-B47D-FBF841DDB618}" type="sibTrans" cxnId="{F963CF58-7905-4DC0-809E-97F428619B12}">
      <dgm:prSet/>
      <dgm:spPr/>
    </dgm:pt>
    <dgm:pt modelId="{2DDF5FA3-767A-4F03-8C6D-4E7F849CDF20}" type="pres">
      <dgm:prSet presAssocID="{91FC13E6-9DE6-45D9-9EF5-DECF9E72A5BB}" presName="Name0" presStyleCnt="0">
        <dgm:presLayoutVars>
          <dgm:dir/>
          <dgm:animLvl val="lvl"/>
          <dgm:resizeHandles val="exact"/>
        </dgm:presLayoutVars>
      </dgm:prSet>
      <dgm:spPr/>
    </dgm:pt>
    <dgm:pt modelId="{0BF990CA-B14B-4C66-9D54-3441352E3756}" type="pres">
      <dgm:prSet presAssocID="{5959D786-3BE1-48D1-838C-2ACB540A0BBD}" presName="composite" presStyleCnt="0"/>
      <dgm:spPr/>
    </dgm:pt>
    <dgm:pt modelId="{9D0BD869-4355-4D9C-87C8-5B99604D3B44}" type="pres">
      <dgm:prSet presAssocID="{5959D786-3BE1-48D1-838C-2ACB540A0BBD}" presName="parTx" presStyleLbl="alignNode1" presStyleIdx="0" presStyleCnt="3">
        <dgm:presLayoutVars>
          <dgm:chMax val="0"/>
          <dgm:chPref val="0"/>
          <dgm:bulletEnabled val="1"/>
        </dgm:presLayoutVars>
      </dgm:prSet>
      <dgm:spPr/>
      <dgm:t>
        <a:bodyPr/>
        <a:lstStyle/>
        <a:p>
          <a:endParaRPr lang="es-MX"/>
        </a:p>
      </dgm:t>
    </dgm:pt>
    <dgm:pt modelId="{209A2A82-F909-44B7-9298-DB6DD047CBDD}" type="pres">
      <dgm:prSet presAssocID="{5959D786-3BE1-48D1-838C-2ACB540A0BBD}" presName="desTx" presStyleLbl="alignAccFollowNode1" presStyleIdx="0" presStyleCnt="3">
        <dgm:presLayoutVars>
          <dgm:bulletEnabled val="1"/>
        </dgm:presLayoutVars>
      </dgm:prSet>
      <dgm:spPr/>
      <dgm:t>
        <a:bodyPr/>
        <a:lstStyle/>
        <a:p>
          <a:endParaRPr lang="es-MX"/>
        </a:p>
      </dgm:t>
    </dgm:pt>
    <dgm:pt modelId="{6FF7B2AB-A8D1-4E72-A12F-2BB8EC227171}" type="pres">
      <dgm:prSet presAssocID="{84D4EA82-AF80-4237-8592-D6C823880078}" presName="space" presStyleCnt="0"/>
      <dgm:spPr/>
    </dgm:pt>
    <dgm:pt modelId="{ED023230-27E0-4DE8-ABE1-BC7347150AC6}" type="pres">
      <dgm:prSet presAssocID="{9980AB45-4183-4C85-8D55-C79CC3201FC2}" presName="composite" presStyleCnt="0"/>
      <dgm:spPr/>
    </dgm:pt>
    <dgm:pt modelId="{F71D0B0B-DCAA-4236-8B72-E317D99E97C2}" type="pres">
      <dgm:prSet presAssocID="{9980AB45-4183-4C85-8D55-C79CC3201FC2}" presName="parTx" presStyleLbl="alignNode1" presStyleIdx="1" presStyleCnt="3">
        <dgm:presLayoutVars>
          <dgm:chMax val="0"/>
          <dgm:chPref val="0"/>
          <dgm:bulletEnabled val="1"/>
        </dgm:presLayoutVars>
      </dgm:prSet>
      <dgm:spPr/>
      <dgm:t>
        <a:bodyPr/>
        <a:lstStyle/>
        <a:p>
          <a:endParaRPr lang="es-MX"/>
        </a:p>
      </dgm:t>
    </dgm:pt>
    <dgm:pt modelId="{88B2D1A6-FF84-4F9F-8BCB-BC4BDE750128}" type="pres">
      <dgm:prSet presAssocID="{9980AB45-4183-4C85-8D55-C79CC3201FC2}" presName="desTx" presStyleLbl="alignAccFollowNode1" presStyleIdx="1" presStyleCnt="3">
        <dgm:presLayoutVars>
          <dgm:bulletEnabled val="1"/>
        </dgm:presLayoutVars>
      </dgm:prSet>
      <dgm:spPr/>
      <dgm:t>
        <a:bodyPr/>
        <a:lstStyle/>
        <a:p>
          <a:endParaRPr lang="es-MX"/>
        </a:p>
      </dgm:t>
    </dgm:pt>
    <dgm:pt modelId="{0EF7F3D9-6257-423B-A213-D5966C7033D2}" type="pres">
      <dgm:prSet presAssocID="{AF91ABE2-DD5A-4A0F-AF34-B27FB4B6CD35}" presName="space" presStyleCnt="0"/>
      <dgm:spPr/>
    </dgm:pt>
    <dgm:pt modelId="{5E3E5066-8938-491B-9A9D-CA2121E889A0}" type="pres">
      <dgm:prSet presAssocID="{F9D2DCFD-9ACB-4F95-9C74-1FE8718B3FFA}" presName="composite" presStyleCnt="0"/>
      <dgm:spPr/>
    </dgm:pt>
    <dgm:pt modelId="{E54F1D87-D5C6-4141-AF74-5F515D50292A}" type="pres">
      <dgm:prSet presAssocID="{F9D2DCFD-9ACB-4F95-9C74-1FE8718B3FFA}" presName="parTx" presStyleLbl="alignNode1" presStyleIdx="2" presStyleCnt="3">
        <dgm:presLayoutVars>
          <dgm:chMax val="0"/>
          <dgm:chPref val="0"/>
          <dgm:bulletEnabled val="1"/>
        </dgm:presLayoutVars>
      </dgm:prSet>
      <dgm:spPr/>
    </dgm:pt>
    <dgm:pt modelId="{D37DE7AC-7C95-4346-9BEA-B292599C4BA6}" type="pres">
      <dgm:prSet presAssocID="{F9D2DCFD-9ACB-4F95-9C74-1FE8718B3FFA}" presName="desTx" presStyleLbl="alignAccFollowNode1" presStyleIdx="2" presStyleCnt="3">
        <dgm:presLayoutVars>
          <dgm:bulletEnabled val="1"/>
        </dgm:presLayoutVars>
      </dgm:prSet>
      <dgm:spPr/>
      <dgm:t>
        <a:bodyPr/>
        <a:lstStyle/>
        <a:p>
          <a:endParaRPr lang="es-MX"/>
        </a:p>
      </dgm:t>
    </dgm:pt>
  </dgm:ptLst>
  <dgm:cxnLst>
    <dgm:cxn modelId="{3008E882-22BF-4B0D-90AE-D57CD155CDF0}" srcId="{91FC13E6-9DE6-45D9-9EF5-DECF9E72A5BB}" destId="{F9D2DCFD-9ACB-4F95-9C74-1FE8718B3FFA}" srcOrd="2" destOrd="0" parTransId="{E0FC66F4-B930-4A68-AF04-C5A4E7358A20}" sibTransId="{99CBC85A-483E-46A9-B0DA-570B70404C75}"/>
    <dgm:cxn modelId="{EC5E77CD-B9DD-4823-B2CF-AE7F5F85FC16}" type="presOf" srcId="{B2C48BB6-5CA5-47A5-B99F-5F4126E2A3DF}" destId="{88B2D1A6-FF84-4F9F-8BCB-BC4BDE750128}" srcOrd="0" destOrd="1" presId="urn:microsoft.com/office/officeart/2005/8/layout/hList1"/>
    <dgm:cxn modelId="{3D0EF2BD-6BC0-41B5-843B-E112F6F673C7}" type="presOf" srcId="{5959D786-3BE1-48D1-838C-2ACB540A0BBD}" destId="{9D0BD869-4355-4D9C-87C8-5B99604D3B44}" srcOrd="0" destOrd="0" presId="urn:microsoft.com/office/officeart/2005/8/layout/hList1"/>
    <dgm:cxn modelId="{B561004C-4B63-4644-BAFD-4ABDCE2A6757}" srcId="{5959D786-3BE1-48D1-838C-2ACB540A0BBD}" destId="{184DAA8F-A663-4BD4-A7BB-285161649604}" srcOrd="0" destOrd="0" parTransId="{050B9063-7DDA-4AD1-9C20-52AD96B8F16C}" sibTransId="{C89BAE18-6D8D-4D43-B0DB-2B79DFE360A5}"/>
    <dgm:cxn modelId="{6DCD9234-9A12-46FB-815C-076681CA8987}" type="presOf" srcId="{184DAA8F-A663-4BD4-A7BB-285161649604}" destId="{209A2A82-F909-44B7-9298-DB6DD047CBDD}" srcOrd="0" destOrd="0" presId="urn:microsoft.com/office/officeart/2005/8/layout/hList1"/>
    <dgm:cxn modelId="{4D966D73-8702-4629-B8AC-8BB29FD4EFED}" type="presOf" srcId="{F9D2DCFD-9ACB-4F95-9C74-1FE8718B3FFA}" destId="{E54F1D87-D5C6-4141-AF74-5F515D50292A}" srcOrd="0" destOrd="0" presId="urn:microsoft.com/office/officeart/2005/8/layout/hList1"/>
    <dgm:cxn modelId="{F963CF58-7905-4DC0-809E-97F428619B12}" srcId="{9980AB45-4183-4C85-8D55-C79CC3201FC2}" destId="{B2C48BB6-5CA5-47A5-B99F-5F4126E2A3DF}" srcOrd="1" destOrd="0" parTransId="{372C1C7D-3EE4-4C51-A0FD-678F4EE31F4A}" sibTransId="{83C512EA-56E5-48F5-B47D-FBF841DDB618}"/>
    <dgm:cxn modelId="{7A963873-56DA-495A-95FC-391566DD28D6}" srcId="{9980AB45-4183-4C85-8D55-C79CC3201FC2}" destId="{2D009997-ADCC-4072-B574-849230F19EE5}" srcOrd="2" destOrd="0" parTransId="{EBAA4B26-82A1-4E96-AC80-9E8103AEB3EC}" sibTransId="{F2A180AF-202D-41BE-827C-1E8AD28E0936}"/>
    <dgm:cxn modelId="{A8AE1D4E-34FE-4E02-89B9-005DC6831AC4}" type="presOf" srcId="{FF1FC579-78AD-47E2-BE4F-03F62F2F7B30}" destId="{88B2D1A6-FF84-4F9F-8BCB-BC4BDE750128}" srcOrd="0" destOrd="0" presId="urn:microsoft.com/office/officeart/2005/8/layout/hList1"/>
    <dgm:cxn modelId="{93334F4C-C6B5-402F-929C-76DB11AF6D30}" type="presOf" srcId="{2D009997-ADCC-4072-B574-849230F19EE5}" destId="{88B2D1A6-FF84-4F9F-8BCB-BC4BDE750128}" srcOrd="0" destOrd="2" presId="urn:microsoft.com/office/officeart/2005/8/layout/hList1"/>
    <dgm:cxn modelId="{2FE08BA8-83F4-4137-9AA2-4A021C8AC90F}" srcId="{91FC13E6-9DE6-45D9-9EF5-DECF9E72A5BB}" destId="{5959D786-3BE1-48D1-838C-2ACB540A0BBD}" srcOrd="0" destOrd="0" parTransId="{C90F889C-438A-44DB-B58D-EC252B6F0C19}" sibTransId="{84D4EA82-AF80-4237-8592-D6C823880078}"/>
    <dgm:cxn modelId="{5D7C9EFA-3BE9-4070-8B5D-4AA912ECDF8E}" type="presOf" srcId="{9980AB45-4183-4C85-8D55-C79CC3201FC2}" destId="{F71D0B0B-DCAA-4236-8B72-E317D99E97C2}" srcOrd="0" destOrd="0" presId="urn:microsoft.com/office/officeart/2005/8/layout/hList1"/>
    <dgm:cxn modelId="{D147D939-3673-4681-B7D3-D62FF681A7E9}" srcId="{9980AB45-4183-4C85-8D55-C79CC3201FC2}" destId="{FF1FC579-78AD-47E2-BE4F-03F62F2F7B30}" srcOrd="0" destOrd="0" parTransId="{681F0246-54DD-43A9-8890-69389F4E9D23}" sibTransId="{F8A560AF-0CB6-47B9-B9E9-0FDD08C5439D}"/>
    <dgm:cxn modelId="{5C10AAC1-3A85-4733-AE91-EF9790CEA4E9}" type="presOf" srcId="{91FC13E6-9DE6-45D9-9EF5-DECF9E72A5BB}" destId="{2DDF5FA3-767A-4F03-8C6D-4E7F849CDF20}" srcOrd="0" destOrd="0" presId="urn:microsoft.com/office/officeart/2005/8/layout/hList1"/>
    <dgm:cxn modelId="{5451F89B-16DE-4253-9A2C-18B35817F6EB}" srcId="{91FC13E6-9DE6-45D9-9EF5-DECF9E72A5BB}" destId="{9980AB45-4183-4C85-8D55-C79CC3201FC2}" srcOrd="1" destOrd="0" parTransId="{2361F42B-C5B4-46DC-9114-26C42B7251FD}" sibTransId="{AF91ABE2-DD5A-4A0F-AF34-B27FB4B6CD35}"/>
    <dgm:cxn modelId="{AED136F8-73EF-4B4E-A00E-F8C88A4C609B}" type="presParOf" srcId="{2DDF5FA3-767A-4F03-8C6D-4E7F849CDF20}" destId="{0BF990CA-B14B-4C66-9D54-3441352E3756}" srcOrd="0" destOrd="0" presId="urn:microsoft.com/office/officeart/2005/8/layout/hList1"/>
    <dgm:cxn modelId="{27F3A659-F2D9-49F9-97A5-9BCAC05D6C75}" type="presParOf" srcId="{0BF990CA-B14B-4C66-9D54-3441352E3756}" destId="{9D0BD869-4355-4D9C-87C8-5B99604D3B44}" srcOrd="0" destOrd="0" presId="urn:microsoft.com/office/officeart/2005/8/layout/hList1"/>
    <dgm:cxn modelId="{4C3BBE88-3048-4BCD-9203-73506A9EB5DC}" type="presParOf" srcId="{0BF990CA-B14B-4C66-9D54-3441352E3756}" destId="{209A2A82-F909-44B7-9298-DB6DD047CBDD}" srcOrd="1" destOrd="0" presId="urn:microsoft.com/office/officeart/2005/8/layout/hList1"/>
    <dgm:cxn modelId="{0D230A68-C365-446C-B89B-7193B09F4B53}" type="presParOf" srcId="{2DDF5FA3-767A-4F03-8C6D-4E7F849CDF20}" destId="{6FF7B2AB-A8D1-4E72-A12F-2BB8EC227171}" srcOrd="1" destOrd="0" presId="urn:microsoft.com/office/officeart/2005/8/layout/hList1"/>
    <dgm:cxn modelId="{5F6FF7AF-BF5C-40D8-A186-E05060E4E272}" type="presParOf" srcId="{2DDF5FA3-767A-4F03-8C6D-4E7F849CDF20}" destId="{ED023230-27E0-4DE8-ABE1-BC7347150AC6}" srcOrd="2" destOrd="0" presId="urn:microsoft.com/office/officeart/2005/8/layout/hList1"/>
    <dgm:cxn modelId="{8A41BDA5-499D-4212-B788-3624C69DFD7E}" type="presParOf" srcId="{ED023230-27E0-4DE8-ABE1-BC7347150AC6}" destId="{F71D0B0B-DCAA-4236-8B72-E317D99E97C2}" srcOrd="0" destOrd="0" presId="urn:microsoft.com/office/officeart/2005/8/layout/hList1"/>
    <dgm:cxn modelId="{ABEE2855-5F8D-4B1A-8381-6BB45B914ADA}" type="presParOf" srcId="{ED023230-27E0-4DE8-ABE1-BC7347150AC6}" destId="{88B2D1A6-FF84-4F9F-8BCB-BC4BDE750128}" srcOrd="1" destOrd="0" presId="urn:microsoft.com/office/officeart/2005/8/layout/hList1"/>
    <dgm:cxn modelId="{1AD6BC39-06FC-4254-81AD-DF99FA99FB7A}" type="presParOf" srcId="{2DDF5FA3-767A-4F03-8C6D-4E7F849CDF20}" destId="{0EF7F3D9-6257-423B-A213-D5966C7033D2}" srcOrd="3" destOrd="0" presId="urn:microsoft.com/office/officeart/2005/8/layout/hList1"/>
    <dgm:cxn modelId="{A0CF43C3-4945-4265-8A5A-C894B002C187}" type="presParOf" srcId="{2DDF5FA3-767A-4F03-8C6D-4E7F849CDF20}" destId="{5E3E5066-8938-491B-9A9D-CA2121E889A0}" srcOrd="4" destOrd="0" presId="urn:microsoft.com/office/officeart/2005/8/layout/hList1"/>
    <dgm:cxn modelId="{0A203A4A-BFE2-4F59-94FA-D88E8FA5B138}" type="presParOf" srcId="{5E3E5066-8938-491B-9A9D-CA2121E889A0}" destId="{E54F1D87-D5C6-4141-AF74-5F515D50292A}" srcOrd="0" destOrd="0" presId="urn:microsoft.com/office/officeart/2005/8/layout/hList1"/>
    <dgm:cxn modelId="{1A0511B4-6B4F-4C81-91D6-07149EA94065}" type="presParOf" srcId="{5E3E5066-8938-491B-9A9D-CA2121E889A0}" destId="{D37DE7AC-7C95-4346-9BEA-B292599C4BA6}" srcOrd="1" destOrd="0" presId="urn:microsoft.com/office/officeart/2005/8/layout/hList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D0BD869-4355-4D9C-87C8-5B99604D3B44}">
      <dsp:nvSpPr>
        <dsp:cNvPr id="0" name=""/>
        <dsp:cNvSpPr/>
      </dsp:nvSpPr>
      <dsp:spPr>
        <a:xfrm>
          <a:off x="1714" y="84557"/>
          <a:ext cx="1671637" cy="288000"/>
        </a:xfrm>
        <a:prstGeom prst="rect">
          <a:avLst/>
        </a:prstGeom>
        <a:solidFill>
          <a:schemeClr val="accent5">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44704" rIns="78232" bIns="44704" numCol="1" spcCol="1270" anchor="ctr" anchorCtr="0">
          <a:noAutofit/>
        </a:bodyPr>
        <a:lstStyle/>
        <a:p>
          <a:pPr lvl="0" algn="ctr" defTabSz="488950">
            <a:lnSpc>
              <a:spcPct val="90000"/>
            </a:lnSpc>
            <a:spcBef>
              <a:spcPct val="0"/>
            </a:spcBef>
            <a:spcAft>
              <a:spcPct val="35000"/>
            </a:spcAft>
          </a:pPr>
          <a:r>
            <a:rPr lang="es-MX" sz="1100" b="1" kern="1200"/>
            <a:t>Ideología corporativa</a:t>
          </a:r>
        </a:p>
      </dsp:txBody>
      <dsp:txXfrm>
        <a:off x="1714" y="84557"/>
        <a:ext cx="1671637" cy="288000"/>
      </dsp:txXfrm>
    </dsp:sp>
    <dsp:sp modelId="{209A2A82-F909-44B7-9298-DB6DD047CBDD}">
      <dsp:nvSpPr>
        <dsp:cNvPr id="0" name=""/>
        <dsp:cNvSpPr/>
      </dsp:nvSpPr>
      <dsp:spPr>
        <a:xfrm>
          <a:off x="1714" y="372557"/>
          <a:ext cx="1671637" cy="2743284"/>
        </a:xfrm>
        <a:prstGeom prst="rect">
          <a:avLst/>
        </a:prstGeom>
        <a:solidFill>
          <a:schemeClr val="accent5">
            <a:tint val="40000"/>
            <a:alpha val="90000"/>
            <a:hueOff val="0"/>
            <a:satOff val="0"/>
            <a:lumOff val="0"/>
            <a:alphaOff val="0"/>
          </a:schemeClr>
        </a:solidFill>
        <a:ln w="25400" cap="flat" cmpd="sng" algn="ctr">
          <a:solidFill>
            <a:schemeClr val="accent5">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71120" bIns="80010" numCol="1" spcCol="1270" anchor="t" anchorCtr="0">
          <a:noAutofit/>
        </a:bodyPr>
        <a:lstStyle/>
        <a:p>
          <a:pPr marL="57150" lvl="1" indent="-57150" algn="l" defTabSz="444500">
            <a:lnSpc>
              <a:spcPct val="90000"/>
            </a:lnSpc>
            <a:spcBef>
              <a:spcPct val="0"/>
            </a:spcBef>
            <a:spcAft>
              <a:spcPct val="15000"/>
            </a:spcAft>
            <a:buChar char="••"/>
          </a:pPr>
          <a:r>
            <a:rPr lang="es-MX" sz="1000" kern="1200"/>
            <a:t>Conjunto de valores de la cultura que explican el comportamiento de una organización de manera interna y externa convirtiéndose en hábitos de conducta característicos.</a:t>
          </a:r>
        </a:p>
      </dsp:txBody>
      <dsp:txXfrm>
        <a:off x="1714" y="372557"/>
        <a:ext cx="1671637" cy="2743284"/>
      </dsp:txXfrm>
    </dsp:sp>
    <dsp:sp modelId="{F71D0B0B-DCAA-4236-8B72-E317D99E97C2}">
      <dsp:nvSpPr>
        <dsp:cNvPr id="0" name=""/>
        <dsp:cNvSpPr/>
      </dsp:nvSpPr>
      <dsp:spPr>
        <a:xfrm>
          <a:off x="1907381" y="84557"/>
          <a:ext cx="1671637" cy="288000"/>
        </a:xfrm>
        <a:prstGeom prst="rect">
          <a:avLst/>
        </a:prstGeom>
        <a:solidFill>
          <a:schemeClr val="accent5">
            <a:hueOff val="-4966938"/>
            <a:satOff val="19906"/>
            <a:lumOff val="4314"/>
            <a:alphaOff val="0"/>
          </a:schemeClr>
        </a:solidFill>
        <a:ln w="25400" cap="flat" cmpd="sng" algn="ctr">
          <a:solidFill>
            <a:schemeClr val="accent5">
              <a:hueOff val="-4966938"/>
              <a:satOff val="19906"/>
              <a:lumOff val="4314"/>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44704" rIns="78232" bIns="44704" numCol="1" spcCol="1270" anchor="ctr" anchorCtr="0">
          <a:noAutofit/>
        </a:bodyPr>
        <a:lstStyle/>
        <a:p>
          <a:pPr lvl="0" algn="ctr" defTabSz="488950">
            <a:lnSpc>
              <a:spcPct val="90000"/>
            </a:lnSpc>
            <a:spcBef>
              <a:spcPct val="0"/>
            </a:spcBef>
            <a:spcAft>
              <a:spcPct val="35000"/>
            </a:spcAft>
          </a:pPr>
          <a:r>
            <a:rPr lang="es-MX" sz="1100" b="1" kern="1200"/>
            <a:t>Orientación estratégica</a:t>
          </a:r>
        </a:p>
      </dsp:txBody>
      <dsp:txXfrm>
        <a:off x="1907381" y="84557"/>
        <a:ext cx="1671637" cy="288000"/>
      </dsp:txXfrm>
    </dsp:sp>
    <dsp:sp modelId="{88B2D1A6-FF84-4F9F-8BCB-BC4BDE750128}">
      <dsp:nvSpPr>
        <dsp:cNvPr id="0" name=""/>
        <dsp:cNvSpPr/>
      </dsp:nvSpPr>
      <dsp:spPr>
        <a:xfrm>
          <a:off x="1907381" y="372557"/>
          <a:ext cx="1671637" cy="2743284"/>
        </a:xfrm>
        <a:prstGeom prst="rect">
          <a:avLst/>
        </a:prstGeom>
        <a:solidFill>
          <a:schemeClr val="accent5">
            <a:tint val="40000"/>
            <a:alpha val="90000"/>
            <a:hueOff val="-5370241"/>
            <a:satOff val="24126"/>
            <a:lumOff val="1658"/>
            <a:alphaOff val="0"/>
          </a:schemeClr>
        </a:solidFill>
        <a:ln w="25400" cap="flat" cmpd="sng" algn="ctr">
          <a:solidFill>
            <a:schemeClr val="accent5">
              <a:tint val="40000"/>
              <a:alpha val="90000"/>
              <a:hueOff val="-5370241"/>
              <a:satOff val="24126"/>
              <a:lumOff val="165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71120" bIns="80010" numCol="1" spcCol="1270" anchor="t" anchorCtr="0">
          <a:noAutofit/>
        </a:bodyPr>
        <a:lstStyle/>
        <a:p>
          <a:pPr marL="57150" lvl="1" indent="-57150" algn="l" defTabSz="444500">
            <a:lnSpc>
              <a:spcPct val="90000"/>
            </a:lnSpc>
            <a:spcBef>
              <a:spcPct val="0"/>
            </a:spcBef>
            <a:spcAft>
              <a:spcPct val="15000"/>
            </a:spcAft>
            <a:buChar char="••"/>
          </a:pPr>
          <a:r>
            <a:rPr lang="es-MX" sz="1000" kern="1200"/>
            <a:t>Es necesario que ésta se difunda dentro de la organización y tenga un sentido inequívoco para la mayoría de sus miembros</a:t>
          </a:r>
        </a:p>
        <a:p>
          <a:pPr marL="57150" lvl="1" indent="-57150" algn="l" defTabSz="444500">
            <a:lnSpc>
              <a:spcPct val="90000"/>
            </a:lnSpc>
            <a:spcBef>
              <a:spcPct val="0"/>
            </a:spcBef>
            <a:spcAft>
              <a:spcPct val="15000"/>
            </a:spcAft>
            <a:buChar char="••"/>
          </a:pPr>
          <a:endParaRPr lang="es-MX" sz="1000" kern="1200"/>
        </a:p>
        <a:p>
          <a:pPr marL="57150" lvl="1" indent="-57150" algn="l" defTabSz="444500">
            <a:lnSpc>
              <a:spcPct val="90000"/>
            </a:lnSpc>
            <a:spcBef>
              <a:spcPct val="0"/>
            </a:spcBef>
            <a:spcAft>
              <a:spcPct val="15000"/>
            </a:spcAft>
            <a:buChar char="••"/>
          </a:pPr>
          <a:r>
            <a:rPr lang="es-MX" sz="1000" kern="1200"/>
            <a:t>Existen distintitos tipos de orientación entre los que se distinguen: -Orientación hacia el cliente</a:t>
          </a:r>
          <a:br>
            <a:rPr lang="es-MX" sz="1000" kern="1200"/>
          </a:br>
          <a:r>
            <a:rPr lang="es-MX" sz="1000" kern="1200"/>
            <a:t>-Orientación hacia la innovación</a:t>
          </a:r>
          <a:br>
            <a:rPr lang="es-MX" sz="1000" kern="1200"/>
          </a:br>
          <a:r>
            <a:rPr lang="es-MX" sz="1000" kern="1200"/>
            <a:t>-Orientación hacia las personas</a:t>
          </a:r>
          <a:br>
            <a:rPr lang="es-MX" sz="1000" kern="1200"/>
          </a:br>
          <a:r>
            <a:rPr lang="es-MX" sz="1000" kern="1200"/>
            <a:t>-Orientación hacia los resultados</a:t>
          </a:r>
          <a:br>
            <a:rPr lang="es-MX" sz="1000" kern="1200"/>
          </a:br>
          <a:r>
            <a:rPr lang="es-MX" sz="1000" kern="1200"/>
            <a:t>-Orientación hacia la empresa</a:t>
          </a:r>
        </a:p>
      </dsp:txBody>
      <dsp:txXfrm>
        <a:off x="1907381" y="372557"/>
        <a:ext cx="1671637" cy="2743284"/>
      </dsp:txXfrm>
    </dsp:sp>
    <dsp:sp modelId="{E54F1D87-D5C6-4141-AF74-5F515D50292A}">
      <dsp:nvSpPr>
        <dsp:cNvPr id="0" name=""/>
        <dsp:cNvSpPr/>
      </dsp:nvSpPr>
      <dsp:spPr>
        <a:xfrm>
          <a:off x="3813048" y="84557"/>
          <a:ext cx="1671637" cy="288000"/>
        </a:xfrm>
        <a:prstGeom prst="rect">
          <a:avLst/>
        </a:prstGeom>
        <a:solidFill>
          <a:schemeClr val="accent5">
            <a:hueOff val="-9933876"/>
            <a:satOff val="39811"/>
            <a:lumOff val="8628"/>
            <a:alphaOff val="0"/>
          </a:schemeClr>
        </a:solidFill>
        <a:ln w="25400" cap="flat" cmpd="sng" algn="ctr">
          <a:solidFill>
            <a:schemeClr val="accent5">
              <a:hueOff val="-9933876"/>
              <a:satOff val="39811"/>
              <a:lumOff val="8628"/>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lvl="0" algn="ctr" defTabSz="533400">
            <a:lnSpc>
              <a:spcPct val="90000"/>
            </a:lnSpc>
            <a:spcBef>
              <a:spcPct val="0"/>
            </a:spcBef>
            <a:spcAft>
              <a:spcPct val="35000"/>
            </a:spcAft>
          </a:pPr>
          <a:r>
            <a:rPr lang="es-MX" sz="1200" b="1" kern="1200"/>
            <a:t>Dinámica Cultural</a:t>
          </a:r>
        </a:p>
      </dsp:txBody>
      <dsp:txXfrm>
        <a:off x="3813048" y="84557"/>
        <a:ext cx="1671637" cy="288000"/>
      </dsp:txXfrm>
    </dsp:sp>
    <dsp:sp modelId="{D37DE7AC-7C95-4346-9BEA-B292599C4BA6}">
      <dsp:nvSpPr>
        <dsp:cNvPr id="0" name=""/>
        <dsp:cNvSpPr/>
      </dsp:nvSpPr>
      <dsp:spPr>
        <a:xfrm>
          <a:off x="3813048" y="372557"/>
          <a:ext cx="1671637" cy="2743284"/>
        </a:xfrm>
        <a:prstGeom prst="rect">
          <a:avLst/>
        </a:prstGeom>
        <a:solidFill>
          <a:schemeClr val="accent5">
            <a:tint val="40000"/>
            <a:alpha val="90000"/>
            <a:hueOff val="-10740482"/>
            <a:satOff val="48253"/>
            <a:lumOff val="3317"/>
            <a:alphaOff val="0"/>
          </a:schemeClr>
        </a:solidFill>
        <a:ln w="25400" cap="flat" cmpd="sng" algn="ctr">
          <a:solidFill>
            <a:schemeClr val="accent5">
              <a:tint val="40000"/>
              <a:alpha val="90000"/>
              <a:hueOff val="-10740482"/>
              <a:satOff val="48253"/>
              <a:lumOff val="3317"/>
              <a:alphaOff val="0"/>
            </a:schemeClr>
          </a:solidFill>
          <a:prstDash val="solid"/>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1462</Words>
  <Characters>8042</Characters>
  <Application>Microsoft Office Word</Application>
  <DocSecurity>0</DocSecurity>
  <Lines>67</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L01308353</dc:creator>
  <cp:lastModifiedBy>L01308353</cp:lastModifiedBy>
  <cp:revision>2</cp:revision>
  <dcterms:created xsi:type="dcterms:W3CDTF">2012-06-06T01:48:00Z</dcterms:created>
  <dcterms:modified xsi:type="dcterms:W3CDTF">2012-06-06T01:48:00Z</dcterms:modified>
</cp:coreProperties>
</file>