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423" w:rsidRDefault="001E0423" w:rsidP="00EB6E56">
      <w:pPr>
        <w:spacing w:after="0" w:line="240" w:lineRule="auto"/>
        <w:jc w:val="both"/>
        <w:rPr>
          <w:b/>
        </w:rPr>
      </w:pPr>
    </w:p>
    <w:p w:rsidR="001E0423" w:rsidRDefault="001E0423" w:rsidP="00EB6E56">
      <w:pPr>
        <w:spacing w:after="0" w:line="240" w:lineRule="auto"/>
        <w:jc w:val="both"/>
        <w:rPr>
          <w:b/>
        </w:rPr>
      </w:pPr>
      <w:r>
        <w:rPr>
          <w:b/>
        </w:rPr>
        <w:t>Historia de la Sociedad de la Información</w:t>
      </w:r>
    </w:p>
    <w:p w:rsidR="001E0423" w:rsidRPr="001E0423" w:rsidRDefault="001E0423" w:rsidP="00EB6E56">
      <w:pPr>
        <w:spacing w:after="0" w:line="240" w:lineRule="auto"/>
        <w:jc w:val="both"/>
      </w:pPr>
      <w:r w:rsidRPr="001E0423">
        <w:t>España (2002), Paidós Comunicación</w:t>
      </w:r>
    </w:p>
    <w:p w:rsidR="001E0423" w:rsidRDefault="001E0423" w:rsidP="00EB6E56">
      <w:pPr>
        <w:spacing w:after="0" w:line="240" w:lineRule="auto"/>
        <w:jc w:val="both"/>
        <w:rPr>
          <w:b/>
        </w:rPr>
      </w:pPr>
    </w:p>
    <w:p w:rsidR="001E0423" w:rsidRDefault="001E0423" w:rsidP="00EB6E56">
      <w:pPr>
        <w:spacing w:after="0" w:line="240" w:lineRule="auto"/>
        <w:jc w:val="both"/>
        <w:rPr>
          <w:b/>
        </w:rPr>
      </w:pPr>
      <w:r>
        <w:rPr>
          <w:b/>
        </w:rPr>
        <w:t>Capítulo 5: los avatares de las políticas públicas</w:t>
      </w:r>
    </w:p>
    <w:p w:rsidR="001E0423" w:rsidRDefault="00EB6E56" w:rsidP="00EB6E56">
      <w:pPr>
        <w:spacing w:after="0" w:line="240" w:lineRule="auto"/>
        <w:jc w:val="both"/>
      </w:pPr>
      <w:r>
        <w:t>Análisis de la noción de Estado-Nación, frente a la sociedad de la información, las nuevas tecnologías y la creación de un modelo de “</w:t>
      </w:r>
      <w:r w:rsidR="001E0423">
        <w:t>Gobernancia supranacional</w:t>
      </w:r>
      <w:r>
        <w:t>”.</w:t>
      </w:r>
    </w:p>
    <w:p w:rsidR="001E0423" w:rsidRPr="00DB310A" w:rsidRDefault="001E0423" w:rsidP="00EB6E56">
      <w:pPr>
        <w:spacing w:after="0" w:line="240" w:lineRule="auto"/>
        <w:jc w:val="both"/>
        <w:rPr>
          <w:b/>
        </w:rPr>
      </w:pPr>
    </w:p>
    <w:p w:rsidR="00560EE5" w:rsidRPr="00DB310A" w:rsidRDefault="00560EE5" w:rsidP="00EB6E56">
      <w:pPr>
        <w:spacing w:after="0" w:line="240" w:lineRule="auto"/>
        <w:jc w:val="both"/>
        <w:rPr>
          <w:b/>
        </w:rPr>
      </w:pPr>
    </w:p>
    <w:p w:rsidR="001E0423" w:rsidRPr="00560EE5" w:rsidRDefault="001E0423" w:rsidP="00EB6E56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i/>
        </w:rPr>
      </w:pPr>
      <w:r w:rsidRPr="00DB310A">
        <w:rPr>
          <w:b/>
        </w:rPr>
        <w:t>Modelo político-administrativo</w:t>
      </w:r>
      <w:r w:rsidR="00560EE5" w:rsidRPr="00DB310A">
        <w:rPr>
          <w:b/>
        </w:rPr>
        <w:t xml:space="preserve"> </w:t>
      </w:r>
      <w:r w:rsidR="00560EE5" w:rsidRPr="00560EE5">
        <w:rPr>
          <w:i/>
        </w:rPr>
        <w:t xml:space="preserve">(estado de </w:t>
      </w:r>
      <w:r w:rsidRPr="00560EE5">
        <w:rPr>
          <w:i/>
        </w:rPr>
        <w:t>ánimo informático</w:t>
      </w:r>
      <w:r w:rsidR="002E0AD5">
        <w:rPr>
          <w:i/>
        </w:rPr>
        <w:t>)</w:t>
      </w:r>
    </w:p>
    <w:p w:rsidR="001E0423" w:rsidRDefault="00560EE5" w:rsidP="00560EE5">
      <w:pPr>
        <w:pStyle w:val="Prrafodelista"/>
        <w:numPr>
          <w:ilvl w:val="0"/>
          <w:numId w:val="13"/>
        </w:numPr>
        <w:spacing w:after="0" w:line="240" w:lineRule="auto"/>
        <w:jc w:val="both"/>
      </w:pPr>
      <w:r>
        <w:t xml:space="preserve">En Japón, los sistemas de información constituyen los llamados </w:t>
      </w:r>
      <w:r>
        <w:rPr>
          <w:i/>
        </w:rPr>
        <w:t>r</w:t>
      </w:r>
      <w:r w:rsidR="001E0423" w:rsidRPr="00560EE5">
        <w:rPr>
          <w:i/>
        </w:rPr>
        <w:t>eservorios de pensamiento nacionales</w:t>
      </w:r>
      <w:r>
        <w:t xml:space="preserve">, cuyo propósito es </w:t>
      </w:r>
      <w:r w:rsidR="001E0423">
        <w:t>alimentar la enseñanza y la investigación; garantizar mediante el libre acceso a la información</w:t>
      </w:r>
      <w:r>
        <w:t xml:space="preserve">, así como </w:t>
      </w:r>
      <w:r w:rsidR="001E0423">
        <w:t xml:space="preserve"> el nuevo sistema de </w:t>
      </w:r>
      <w:r>
        <w:t>participación de los ciudadanos.</w:t>
      </w:r>
    </w:p>
    <w:p w:rsidR="001E0423" w:rsidRDefault="00560EE5" w:rsidP="00EB6E56">
      <w:pPr>
        <w:pStyle w:val="Prrafodelista"/>
        <w:numPr>
          <w:ilvl w:val="0"/>
          <w:numId w:val="13"/>
        </w:numPr>
        <w:spacing w:after="0" w:line="240" w:lineRule="auto"/>
        <w:jc w:val="both"/>
      </w:pPr>
      <w:r>
        <w:t xml:space="preserve">Japón crea </w:t>
      </w:r>
      <w:r w:rsidRPr="00560EE5">
        <w:rPr>
          <w:i/>
        </w:rPr>
        <w:t>batallones de paz</w:t>
      </w:r>
      <w:r>
        <w:t>, esto es, un cronograma de cambios y procesos para impulsar la adopción del nuevo modelo de sociedad de la información que comprenda las esferas:</w:t>
      </w:r>
      <w:r w:rsidR="001E0423">
        <w:t xml:space="preserve"> país, organización, empresa, servicios sociales, </w:t>
      </w:r>
      <w:r w:rsidR="00594F3B">
        <w:t>sociedad, particulares, ser humano.</w:t>
      </w:r>
    </w:p>
    <w:p w:rsidR="00594F3B" w:rsidRDefault="00560EE5" w:rsidP="00EB6E56">
      <w:pPr>
        <w:pStyle w:val="Prrafodelista"/>
        <w:numPr>
          <w:ilvl w:val="0"/>
          <w:numId w:val="13"/>
        </w:numPr>
        <w:spacing w:after="0" w:line="240" w:lineRule="auto"/>
        <w:jc w:val="both"/>
      </w:pPr>
      <w:r>
        <w:t xml:space="preserve">Al equilibrar las fuerzas se inserta el concepto de </w:t>
      </w:r>
      <w:r w:rsidRPr="00560EE5">
        <w:rPr>
          <w:i/>
        </w:rPr>
        <w:t>v</w:t>
      </w:r>
      <w:r w:rsidR="00594F3B" w:rsidRPr="00560EE5">
        <w:rPr>
          <w:i/>
        </w:rPr>
        <w:t>ulnerabilidad del sistema informático</w:t>
      </w:r>
      <w:r>
        <w:rPr>
          <w:i/>
        </w:rPr>
        <w:t xml:space="preserve">, </w:t>
      </w:r>
      <w:r>
        <w:t>trayendo consigo el</w:t>
      </w:r>
      <w:r w:rsidR="00594F3B">
        <w:t xml:space="preserve"> procesamiento de datos en manos de capital nacional para no poner en peligro la independencia económica.</w:t>
      </w:r>
    </w:p>
    <w:p w:rsidR="00594F3B" w:rsidRDefault="00560EE5" w:rsidP="00EB6E56">
      <w:pPr>
        <w:pStyle w:val="Prrafodelista"/>
        <w:numPr>
          <w:ilvl w:val="0"/>
          <w:numId w:val="13"/>
        </w:numPr>
        <w:spacing w:after="0" w:line="240" w:lineRule="auto"/>
        <w:jc w:val="both"/>
      </w:pPr>
      <w:r>
        <w:t xml:space="preserve">Es entonces cuando se hace necesaria la </w:t>
      </w:r>
      <w:r w:rsidRPr="00560EE5">
        <w:rPr>
          <w:i/>
        </w:rPr>
        <w:t>r</w:t>
      </w:r>
      <w:r w:rsidR="00594F3B" w:rsidRPr="00560EE5">
        <w:rPr>
          <w:i/>
        </w:rPr>
        <w:t>estauración de la subjetividad</w:t>
      </w:r>
      <w:r w:rsidRPr="00560EE5">
        <w:rPr>
          <w:i/>
        </w:rPr>
        <w:t xml:space="preserve">, </w:t>
      </w:r>
      <w:r>
        <w:t>enfatizando la pertinencia de que “l</w:t>
      </w:r>
      <w:r w:rsidR="00594F3B">
        <w:t>a creciente informatización de la sociedad está en el corazón de la crisis, puede agravarla o contribuir a resolverla</w:t>
      </w:r>
      <w:r>
        <w:t>”.</w:t>
      </w:r>
    </w:p>
    <w:p w:rsidR="00594F3B" w:rsidRDefault="00560EE5" w:rsidP="00EB6E56">
      <w:pPr>
        <w:pStyle w:val="Prrafodelista"/>
        <w:numPr>
          <w:ilvl w:val="0"/>
          <w:numId w:val="13"/>
        </w:numPr>
        <w:spacing w:after="0" w:line="240" w:lineRule="auto"/>
        <w:jc w:val="both"/>
      </w:pPr>
      <w:r>
        <w:t>Con lo anterior surge el n</w:t>
      </w:r>
      <w:r w:rsidR="00594F3B">
        <w:t>uevo modo global de regulación de la sociedad</w:t>
      </w:r>
      <w:r>
        <w:t>, en el que la r</w:t>
      </w:r>
      <w:r w:rsidR="00594F3B">
        <w:t>eflexión sobr</w:t>
      </w:r>
      <w:r>
        <w:t xml:space="preserve">e la informática y la sociedad permiten el </w:t>
      </w:r>
      <w:r w:rsidR="00594F3B">
        <w:t>equilibrio de las civilizaciones modernas</w:t>
      </w:r>
      <w:r>
        <w:t>.</w:t>
      </w:r>
    </w:p>
    <w:p w:rsidR="00594F3B" w:rsidRDefault="00594F3B" w:rsidP="00EB6E56">
      <w:pPr>
        <w:spacing w:after="0" w:line="240" w:lineRule="auto"/>
        <w:jc w:val="both"/>
      </w:pPr>
    </w:p>
    <w:p w:rsidR="00594F3B" w:rsidRPr="00EB6E56" w:rsidRDefault="00594F3B" w:rsidP="00EB6E56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b/>
        </w:rPr>
      </w:pPr>
      <w:r w:rsidRPr="00EB6E56">
        <w:rPr>
          <w:b/>
        </w:rPr>
        <w:t>Hacia el modelo liberal competitivo</w:t>
      </w:r>
    </w:p>
    <w:p w:rsidR="00594F3B" w:rsidRDefault="00DB310A" w:rsidP="00DB310A">
      <w:pPr>
        <w:pStyle w:val="Prrafodelista"/>
        <w:numPr>
          <w:ilvl w:val="0"/>
          <w:numId w:val="14"/>
        </w:numPr>
        <w:spacing w:after="0" w:line="240" w:lineRule="auto"/>
        <w:ind w:left="1068"/>
        <w:jc w:val="both"/>
      </w:pPr>
      <w:r>
        <w:t>E</w:t>
      </w:r>
      <w:r w:rsidR="00594F3B">
        <w:t xml:space="preserve">l concepto de sociedad de la información </w:t>
      </w:r>
      <w:r>
        <w:t>se acuña hacia finales de los 60, de manera simultánea en</w:t>
      </w:r>
      <w:r w:rsidR="00594F3B">
        <w:t xml:space="preserve"> EUA y Japón. </w:t>
      </w:r>
      <w:r>
        <w:t>De inmediato se abre la discusión académica, se</w:t>
      </w:r>
      <w:r w:rsidR="00594F3B">
        <w:t xml:space="preserve"> reestructura</w:t>
      </w:r>
      <w:r>
        <w:t>n las oficinas</w:t>
      </w:r>
      <w:r w:rsidR="00594F3B">
        <w:t xml:space="preserve"> gubernamental</w:t>
      </w:r>
      <w:r>
        <w:t>es para incluir los proyectos</w:t>
      </w:r>
      <w:r w:rsidR="001849B4">
        <w:t xml:space="preserve"> orientados a la implantación del modelo. Los programas buscan la satisfacción de las  necesidades sociales, en medio del apogeo del “</w:t>
      </w:r>
      <w:r w:rsidR="00594F3B">
        <w:t>estado-providencia</w:t>
      </w:r>
      <w:r w:rsidR="001849B4">
        <w:t>”, teniendo como objetivo generar un</w:t>
      </w:r>
      <w:r w:rsidR="00594F3B">
        <w:t xml:space="preserve"> ciudad</w:t>
      </w:r>
      <w:r w:rsidR="001849B4">
        <w:t>ano flexible, liberalizando el sistema de las comunicaciones.</w:t>
      </w:r>
    </w:p>
    <w:p w:rsidR="00867867" w:rsidRDefault="00867867" w:rsidP="00DB310A">
      <w:pPr>
        <w:pStyle w:val="Prrafodelista"/>
        <w:numPr>
          <w:ilvl w:val="0"/>
          <w:numId w:val="14"/>
        </w:numPr>
        <w:spacing w:after="0" w:line="240" w:lineRule="auto"/>
        <w:ind w:left="1068"/>
        <w:jc w:val="both"/>
      </w:pPr>
      <w:r>
        <w:t>Internacionalmente el concepto de sociedad de la información se impone en 1975 a través de la OCDE y los organismos de la ONU, así como agencias europeas</w:t>
      </w:r>
      <w:r w:rsidR="001849B4">
        <w:t>.</w:t>
      </w:r>
    </w:p>
    <w:p w:rsidR="001849B4" w:rsidRDefault="00867867" w:rsidP="00DB310A">
      <w:pPr>
        <w:pStyle w:val="Prrafodelista"/>
        <w:numPr>
          <w:ilvl w:val="0"/>
          <w:numId w:val="14"/>
        </w:numPr>
        <w:spacing w:after="0" w:line="240" w:lineRule="auto"/>
        <w:ind w:left="1068"/>
        <w:jc w:val="both"/>
      </w:pPr>
      <w:r>
        <w:t xml:space="preserve">En 1980 el Consejo de Europa aprueba </w:t>
      </w:r>
      <w:r w:rsidR="001849B4">
        <w:t xml:space="preserve">la </w:t>
      </w:r>
      <w:r>
        <w:t>primera ley de protección de datos personales, garantía concedida a cualquier persona</w:t>
      </w:r>
      <w:r w:rsidR="001849B4">
        <w:t>.</w:t>
      </w:r>
    </w:p>
    <w:p w:rsidR="00867867" w:rsidRDefault="001849B4" w:rsidP="00DB310A">
      <w:pPr>
        <w:pStyle w:val="Prrafodelista"/>
        <w:numPr>
          <w:ilvl w:val="0"/>
          <w:numId w:val="14"/>
        </w:numPr>
        <w:spacing w:after="0" w:line="240" w:lineRule="auto"/>
        <w:ind w:left="1068"/>
        <w:jc w:val="both"/>
      </w:pPr>
      <w:r>
        <w:t>Lo anterior trae como consecuencia un</w:t>
      </w:r>
      <w:r w:rsidR="00867867">
        <w:t xml:space="preserve"> flujo in</w:t>
      </w:r>
      <w:r>
        <w:t>ternacional de datos personales al que EUA se opone, pues representaría una forma de</w:t>
      </w:r>
      <w:r w:rsidR="00867867">
        <w:t xml:space="preserve"> </w:t>
      </w:r>
      <w:r>
        <w:t>“resistencia al libre comercio electrónico”.</w:t>
      </w:r>
    </w:p>
    <w:p w:rsidR="00867867" w:rsidRDefault="00867867" w:rsidP="00EB6E56">
      <w:pPr>
        <w:spacing w:after="0" w:line="240" w:lineRule="auto"/>
        <w:jc w:val="both"/>
      </w:pPr>
    </w:p>
    <w:p w:rsidR="00867867" w:rsidRPr="00EB6E56" w:rsidRDefault="00867867" w:rsidP="00EB6E56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b/>
        </w:rPr>
      </w:pPr>
      <w:r w:rsidRPr="00EB6E56">
        <w:rPr>
          <w:b/>
        </w:rPr>
        <w:t>La desreglamentación</w:t>
      </w:r>
    </w:p>
    <w:p w:rsidR="0094548B" w:rsidRDefault="0094548B" w:rsidP="00EB6E56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t xml:space="preserve">Para 1985 el debate se centra en los </w:t>
      </w:r>
      <w:r w:rsidRPr="0094548B">
        <w:rPr>
          <w:i/>
        </w:rPr>
        <w:t>o</w:t>
      </w:r>
      <w:r w:rsidR="00867867" w:rsidRPr="0094548B">
        <w:rPr>
          <w:i/>
        </w:rPr>
        <w:t>peradores globales</w:t>
      </w:r>
      <w:r w:rsidR="00867867">
        <w:t>: cómo integrar organismos internacionales,</w:t>
      </w:r>
      <w:r>
        <w:t xml:space="preserve"> poner</w:t>
      </w:r>
      <w:r w:rsidR="00867867">
        <w:t xml:space="preserve"> límites a la competencia </w:t>
      </w:r>
      <w:r>
        <w:t>y a la inversión extranjera.</w:t>
      </w:r>
    </w:p>
    <w:p w:rsidR="0094548B" w:rsidRDefault="0094548B" w:rsidP="00EB6E56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lastRenderedPageBreak/>
        <w:t>En 1987 Europa define una “</w:t>
      </w:r>
      <w:r w:rsidR="00867867">
        <w:t>política pública común</w:t>
      </w:r>
      <w:r>
        <w:t>” que presupone la</w:t>
      </w:r>
      <w:r w:rsidR="00867867">
        <w:t xml:space="preserve"> desaparición de monopolios nacionales y </w:t>
      </w:r>
      <w:r>
        <w:t xml:space="preserve">la concepción de las </w:t>
      </w:r>
      <w:r w:rsidR="00867867">
        <w:t>redes de información como elemento de construcción del mercado único</w:t>
      </w:r>
      <w:r>
        <w:t>.</w:t>
      </w:r>
    </w:p>
    <w:p w:rsidR="00867867" w:rsidRDefault="0094548B" w:rsidP="00EB6E56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t xml:space="preserve">Ya en </w:t>
      </w:r>
      <w:r w:rsidR="00867867">
        <w:t xml:space="preserve">1995 </w:t>
      </w:r>
      <w:r>
        <w:t xml:space="preserve">el </w:t>
      </w:r>
      <w:r w:rsidR="00867867">
        <w:t xml:space="preserve">concepto de </w:t>
      </w:r>
      <w:r w:rsidR="00867867" w:rsidRPr="0094548B">
        <w:rPr>
          <w:i/>
        </w:rPr>
        <w:t>sociedad global de la información</w:t>
      </w:r>
      <w:r>
        <w:t xml:space="preserve"> adquiere relevancia y se comienza a incorporar en todos los foros y grupos sociales.</w:t>
      </w:r>
    </w:p>
    <w:p w:rsidR="0094548B" w:rsidRDefault="0094548B" w:rsidP="00EB6E56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t xml:space="preserve">A finales de los 90, EUA establece que los </w:t>
      </w:r>
      <w:r w:rsidR="00867867">
        <w:t xml:space="preserve">gobiernos deben respetar naturaleza original del comercio electrónico, </w:t>
      </w:r>
      <w:r>
        <w:t xml:space="preserve">dejando a la </w:t>
      </w:r>
      <w:r w:rsidR="00867867">
        <w:t>competencia global y</w:t>
      </w:r>
      <w:r>
        <w:t xml:space="preserve"> las</w:t>
      </w:r>
      <w:r w:rsidR="00867867">
        <w:t xml:space="preserve"> opciones del consumidor </w:t>
      </w:r>
      <w:r>
        <w:t xml:space="preserve">como los que </w:t>
      </w:r>
      <w:r w:rsidR="00867867">
        <w:t>definen reglas del juego.</w:t>
      </w:r>
    </w:p>
    <w:p w:rsidR="00867867" w:rsidRDefault="0094548B" w:rsidP="00EB6E56">
      <w:pPr>
        <w:pStyle w:val="Prrafodelista"/>
        <w:numPr>
          <w:ilvl w:val="0"/>
          <w:numId w:val="15"/>
        </w:numPr>
        <w:spacing w:after="0" w:line="240" w:lineRule="auto"/>
        <w:jc w:val="both"/>
      </w:pPr>
      <w:r>
        <w:t xml:space="preserve">El nuevo milenio inicia con las visiones de un </w:t>
      </w:r>
      <w:r w:rsidRPr="0094548B">
        <w:rPr>
          <w:i/>
        </w:rPr>
        <w:t>en</w:t>
      </w:r>
      <w:r w:rsidR="00867867" w:rsidRPr="0094548B">
        <w:rPr>
          <w:i/>
        </w:rPr>
        <w:t>to</w:t>
      </w:r>
      <w:r w:rsidRPr="0094548B">
        <w:rPr>
          <w:i/>
        </w:rPr>
        <w:t>r</w:t>
      </w:r>
      <w:r w:rsidR="00867867" w:rsidRPr="0094548B">
        <w:rPr>
          <w:i/>
        </w:rPr>
        <w:t>no global</w:t>
      </w:r>
      <w:r w:rsidR="00867867">
        <w:t xml:space="preserve">, </w:t>
      </w:r>
      <w:r>
        <w:t xml:space="preserve">y de </w:t>
      </w:r>
      <w:r w:rsidRPr="0094548B">
        <w:rPr>
          <w:i/>
        </w:rPr>
        <w:t>necesidades geoeconómicas</w:t>
      </w:r>
      <w:r>
        <w:t xml:space="preserve"> que demandan la r</w:t>
      </w:r>
      <w:r w:rsidR="00867867">
        <w:t xml:space="preserve">eglamentación de intercambios culturales, </w:t>
      </w:r>
      <w:r>
        <w:t>ade</w:t>
      </w:r>
      <w:r w:rsidR="00867867">
        <w:t xml:space="preserve">más </w:t>
      </w:r>
      <w:r>
        <w:t>de lo</w:t>
      </w:r>
      <w:r w:rsidR="00D8278D">
        <w:t>s</w:t>
      </w:r>
      <w:r>
        <w:t xml:space="preserve"> asuntos técnicos respectivos</w:t>
      </w:r>
      <w:r w:rsidR="00867867">
        <w:t xml:space="preserve">, </w:t>
      </w:r>
      <w:r>
        <w:t xml:space="preserve">así como la </w:t>
      </w:r>
      <w:r w:rsidR="00867867">
        <w:t xml:space="preserve">liberalización de flujos de información y </w:t>
      </w:r>
      <w:r>
        <w:t>los</w:t>
      </w:r>
      <w:r w:rsidR="00867867">
        <w:t xml:space="preserve"> derechos de autor</w:t>
      </w:r>
      <w:r>
        <w:t>.</w:t>
      </w:r>
    </w:p>
    <w:p w:rsidR="00867867" w:rsidRDefault="00867867" w:rsidP="00EB6E56">
      <w:pPr>
        <w:spacing w:after="0" w:line="240" w:lineRule="auto"/>
        <w:jc w:val="both"/>
      </w:pPr>
    </w:p>
    <w:p w:rsidR="0094548B" w:rsidRDefault="0094548B" w:rsidP="00EB6E56">
      <w:pPr>
        <w:spacing w:after="0" w:line="240" w:lineRule="auto"/>
        <w:jc w:val="both"/>
        <w:rPr>
          <w:b/>
          <w:i/>
        </w:rPr>
      </w:pPr>
      <w:r>
        <w:rPr>
          <w:b/>
          <w:i/>
        </w:rPr>
        <w:t>Conclusión:</w:t>
      </w:r>
    </w:p>
    <w:p w:rsidR="0094548B" w:rsidRDefault="0094548B" w:rsidP="0094548B">
      <w:pPr>
        <w:pStyle w:val="Prrafodelista"/>
        <w:numPr>
          <w:ilvl w:val="0"/>
          <w:numId w:val="16"/>
        </w:numPr>
        <w:spacing w:after="0" w:line="240" w:lineRule="auto"/>
        <w:jc w:val="both"/>
      </w:pPr>
      <w:r>
        <w:t>Dotar de un r</w:t>
      </w:r>
      <w:r w:rsidR="00867867">
        <w:t xml:space="preserve">ostro humano </w:t>
      </w:r>
      <w:r>
        <w:t>a la sociedad de mercado.</w:t>
      </w:r>
    </w:p>
    <w:p w:rsidR="0094548B" w:rsidRDefault="0094548B" w:rsidP="0094548B">
      <w:pPr>
        <w:pStyle w:val="Prrafodelista"/>
        <w:numPr>
          <w:ilvl w:val="0"/>
          <w:numId w:val="16"/>
        </w:numPr>
        <w:spacing w:after="0" w:line="240" w:lineRule="auto"/>
        <w:jc w:val="both"/>
      </w:pPr>
      <w:r>
        <w:t xml:space="preserve">Valorar la </w:t>
      </w:r>
      <w:r w:rsidR="00867867">
        <w:t>a</w:t>
      </w:r>
      <w:r>
        <w:t>utorregulación y empleabilidad de las nuevas tecnologías de información y comunicación.</w:t>
      </w:r>
    </w:p>
    <w:p w:rsidR="00867867" w:rsidRPr="00867867" w:rsidRDefault="0094548B" w:rsidP="0094548B">
      <w:pPr>
        <w:pStyle w:val="Prrafodelista"/>
        <w:numPr>
          <w:ilvl w:val="0"/>
          <w:numId w:val="16"/>
        </w:numPr>
        <w:spacing w:after="0" w:line="240" w:lineRule="auto"/>
        <w:jc w:val="both"/>
      </w:pPr>
      <w:r>
        <w:t xml:space="preserve">Al liberalizar el mercado, surge la </w:t>
      </w:r>
      <w:r w:rsidRPr="0094548B">
        <w:rPr>
          <w:i/>
        </w:rPr>
        <w:t>s</w:t>
      </w:r>
      <w:r w:rsidR="00867867" w:rsidRPr="0094548B">
        <w:rPr>
          <w:i/>
        </w:rPr>
        <w:t>ociedad del conocimiento</w:t>
      </w:r>
      <w:r>
        <w:rPr>
          <w:i/>
        </w:rPr>
        <w:t xml:space="preserve">, </w:t>
      </w:r>
      <w:r>
        <w:t>mediante la cual la competencia se regula a través de las necesidades de los consumidores y su experiencia con los productos y servicios.</w:t>
      </w:r>
    </w:p>
    <w:p w:rsidR="00594F3B" w:rsidRPr="00594F3B" w:rsidRDefault="00594F3B" w:rsidP="00EB6E56">
      <w:pPr>
        <w:spacing w:after="0" w:line="240" w:lineRule="auto"/>
        <w:jc w:val="both"/>
        <w:rPr>
          <w:b/>
        </w:rPr>
      </w:pPr>
      <w:bookmarkStart w:id="0" w:name="_GoBack"/>
      <w:bookmarkEnd w:id="0"/>
    </w:p>
    <w:sectPr w:rsidR="00594F3B" w:rsidRPr="00594F3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B14" w:rsidRDefault="00A03B14" w:rsidP="00494945">
      <w:pPr>
        <w:spacing w:after="0" w:line="240" w:lineRule="auto"/>
      </w:pPr>
      <w:r>
        <w:separator/>
      </w:r>
    </w:p>
  </w:endnote>
  <w:endnote w:type="continuationSeparator" w:id="0">
    <w:p w:rsidR="00A03B14" w:rsidRDefault="00A03B14" w:rsidP="00494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B14" w:rsidRDefault="00A03B14" w:rsidP="00494945">
      <w:pPr>
        <w:spacing w:after="0" w:line="240" w:lineRule="auto"/>
      </w:pPr>
      <w:r>
        <w:separator/>
      </w:r>
    </w:p>
  </w:footnote>
  <w:footnote w:type="continuationSeparator" w:id="0">
    <w:p w:rsidR="00A03B14" w:rsidRDefault="00A03B14" w:rsidP="004949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423" w:rsidRDefault="001E0423">
    <w:pPr>
      <w:pStyle w:val="Encabezado"/>
      <w:rPr>
        <w:b/>
        <w:i/>
      </w:rPr>
    </w:pPr>
    <w:proofErr w:type="spellStart"/>
    <w:r>
      <w:rPr>
        <w:b/>
        <w:i/>
      </w:rPr>
      <w:t>Armand</w:t>
    </w:r>
    <w:proofErr w:type="spellEnd"/>
    <w:r>
      <w:rPr>
        <w:b/>
        <w:i/>
      </w:rPr>
      <w:t xml:space="preserve"> </w:t>
    </w:r>
    <w:proofErr w:type="spellStart"/>
    <w:r>
      <w:rPr>
        <w:b/>
        <w:i/>
      </w:rPr>
      <w:t>Mattelart</w:t>
    </w:r>
    <w:proofErr w:type="spellEnd"/>
    <w:r>
      <w:rPr>
        <w:b/>
        <w:i/>
      </w:rPr>
      <w:t>: los avatares de las políticas públicas.</w:t>
    </w:r>
  </w:p>
  <w:p w:rsidR="00494945" w:rsidRPr="001E0423" w:rsidRDefault="00494945">
    <w:pPr>
      <w:pStyle w:val="Encabezado"/>
      <w:rPr>
        <w:b/>
        <w:i/>
      </w:rPr>
    </w:pPr>
    <w:r>
      <w:t>Teorías de la Sociedad de la Información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A061B"/>
    <w:multiLevelType w:val="hybridMultilevel"/>
    <w:tmpl w:val="DB109FD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8152042"/>
    <w:multiLevelType w:val="hybridMultilevel"/>
    <w:tmpl w:val="57ACC7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C76096A"/>
    <w:multiLevelType w:val="hybridMultilevel"/>
    <w:tmpl w:val="CAFA7FF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E6C5594"/>
    <w:multiLevelType w:val="hybridMultilevel"/>
    <w:tmpl w:val="9D26647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17A022E"/>
    <w:multiLevelType w:val="hybridMultilevel"/>
    <w:tmpl w:val="90E8810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1ED2D47"/>
    <w:multiLevelType w:val="hybridMultilevel"/>
    <w:tmpl w:val="9BC08A9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936C0"/>
    <w:multiLevelType w:val="hybridMultilevel"/>
    <w:tmpl w:val="C57E1DCA"/>
    <w:lvl w:ilvl="0" w:tplc="08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42C66B8E"/>
    <w:multiLevelType w:val="hybridMultilevel"/>
    <w:tmpl w:val="FE5CB65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62250FD"/>
    <w:multiLevelType w:val="hybridMultilevel"/>
    <w:tmpl w:val="7D4E823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FBE6034"/>
    <w:multiLevelType w:val="hybridMultilevel"/>
    <w:tmpl w:val="E0BAF26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520F50D7"/>
    <w:multiLevelType w:val="hybridMultilevel"/>
    <w:tmpl w:val="162C1F24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5A483422"/>
    <w:multiLevelType w:val="hybridMultilevel"/>
    <w:tmpl w:val="8780E27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DBA71DE"/>
    <w:multiLevelType w:val="hybridMultilevel"/>
    <w:tmpl w:val="E716E540"/>
    <w:lvl w:ilvl="0" w:tplc="080A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3272C7C"/>
    <w:multiLevelType w:val="hybridMultilevel"/>
    <w:tmpl w:val="A9B4EF0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D94BE7"/>
    <w:multiLevelType w:val="hybridMultilevel"/>
    <w:tmpl w:val="57861C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B061AE"/>
    <w:multiLevelType w:val="hybridMultilevel"/>
    <w:tmpl w:val="22B4B926"/>
    <w:lvl w:ilvl="0" w:tplc="080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5"/>
  </w:num>
  <w:num w:numId="5">
    <w:abstractNumId w:val="12"/>
  </w:num>
  <w:num w:numId="6">
    <w:abstractNumId w:val="7"/>
  </w:num>
  <w:num w:numId="7">
    <w:abstractNumId w:val="11"/>
  </w:num>
  <w:num w:numId="8">
    <w:abstractNumId w:val="8"/>
  </w:num>
  <w:num w:numId="9">
    <w:abstractNumId w:val="4"/>
  </w:num>
  <w:num w:numId="10">
    <w:abstractNumId w:val="0"/>
  </w:num>
  <w:num w:numId="11">
    <w:abstractNumId w:val="13"/>
  </w:num>
  <w:num w:numId="12">
    <w:abstractNumId w:val="9"/>
  </w:num>
  <w:num w:numId="13">
    <w:abstractNumId w:val="3"/>
  </w:num>
  <w:num w:numId="14">
    <w:abstractNumId w:val="14"/>
  </w:num>
  <w:num w:numId="15">
    <w:abstractNumId w:val="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9FE"/>
    <w:rsid w:val="001849B4"/>
    <w:rsid w:val="001E0423"/>
    <w:rsid w:val="002E0AD5"/>
    <w:rsid w:val="003D5C6B"/>
    <w:rsid w:val="00494945"/>
    <w:rsid w:val="004953A7"/>
    <w:rsid w:val="00560EE5"/>
    <w:rsid w:val="00594F3B"/>
    <w:rsid w:val="006272C1"/>
    <w:rsid w:val="00746D57"/>
    <w:rsid w:val="00867867"/>
    <w:rsid w:val="009269FE"/>
    <w:rsid w:val="00941838"/>
    <w:rsid w:val="0094548B"/>
    <w:rsid w:val="00A03B14"/>
    <w:rsid w:val="00A22025"/>
    <w:rsid w:val="00AD42BF"/>
    <w:rsid w:val="00AD7A9B"/>
    <w:rsid w:val="00CF79BB"/>
    <w:rsid w:val="00D8278D"/>
    <w:rsid w:val="00DB310A"/>
    <w:rsid w:val="00DC3D88"/>
    <w:rsid w:val="00E45B9F"/>
    <w:rsid w:val="00EB6E56"/>
    <w:rsid w:val="00ED2665"/>
    <w:rsid w:val="00F6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183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4945"/>
  </w:style>
  <w:style w:type="paragraph" w:styleId="Piedepgina">
    <w:name w:val="footer"/>
    <w:basedOn w:val="Normal"/>
    <w:link w:val="Piedepgina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4945"/>
  </w:style>
  <w:style w:type="paragraph" w:styleId="Textodeglobo">
    <w:name w:val="Balloon Text"/>
    <w:basedOn w:val="Normal"/>
    <w:link w:val="TextodegloboCar"/>
    <w:uiPriority w:val="99"/>
    <w:semiHidden/>
    <w:unhideWhenUsed/>
    <w:rsid w:val="00494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9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183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4945"/>
  </w:style>
  <w:style w:type="paragraph" w:styleId="Piedepgina">
    <w:name w:val="footer"/>
    <w:basedOn w:val="Normal"/>
    <w:link w:val="Piedepgina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4945"/>
  </w:style>
  <w:style w:type="paragraph" w:styleId="Textodeglobo">
    <w:name w:val="Balloon Text"/>
    <w:basedOn w:val="Normal"/>
    <w:link w:val="TextodegloboCar"/>
    <w:uiPriority w:val="99"/>
    <w:semiHidden/>
    <w:unhideWhenUsed/>
    <w:rsid w:val="00494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9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598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Hernandez Calderon</dc:creator>
  <cp:lastModifiedBy>Gabriel Hernandez Calderon</cp:lastModifiedBy>
  <cp:revision>12</cp:revision>
  <dcterms:created xsi:type="dcterms:W3CDTF">2012-02-25T23:09:00Z</dcterms:created>
  <dcterms:modified xsi:type="dcterms:W3CDTF">2012-02-26T01:37:00Z</dcterms:modified>
</cp:coreProperties>
</file>