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1DC7" w:rsidRPr="002D7201" w:rsidRDefault="00141DC7" w:rsidP="00141DC7">
      <w:pPr>
        <w:spacing w:line="480" w:lineRule="auto"/>
        <w:jc w:val="center"/>
        <w:rPr>
          <w:rFonts w:ascii="Times New Roman" w:hAnsi="Times New Roman"/>
          <w:b/>
          <w:sz w:val="24"/>
          <w:szCs w:val="24"/>
        </w:rPr>
      </w:pPr>
      <w:r w:rsidRPr="002D7201">
        <w:rPr>
          <w:rFonts w:ascii="Times New Roman" w:hAnsi="Times New Roman"/>
          <w:b/>
          <w:sz w:val="24"/>
          <w:szCs w:val="24"/>
        </w:rPr>
        <w:t>KUHN</w:t>
      </w:r>
      <w:r w:rsidR="00864193">
        <w:rPr>
          <w:rFonts w:ascii="Times New Roman" w:hAnsi="Times New Roman"/>
          <w:b/>
          <w:sz w:val="24"/>
          <w:szCs w:val="24"/>
        </w:rPr>
        <w:t>,</w:t>
      </w:r>
      <w:r w:rsidRPr="002D7201">
        <w:rPr>
          <w:rFonts w:ascii="Times New Roman" w:hAnsi="Times New Roman"/>
          <w:b/>
          <w:sz w:val="24"/>
          <w:szCs w:val="24"/>
        </w:rPr>
        <w:t xml:space="preserve"> </w:t>
      </w:r>
      <w:r w:rsidR="00271A6F">
        <w:rPr>
          <w:rFonts w:ascii="Times New Roman" w:hAnsi="Times New Roman"/>
          <w:b/>
          <w:sz w:val="24"/>
          <w:szCs w:val="24"/>
        </w:rPr>
        <w:t xml:space="preserve">MCLUHAN </w:t>
      </w:r>
      <w:r w:rsidRPr="002D7201">
        <w:rPr>
          <w:rFonts w:ascii="Times New Roman" w:hAnsi="Times New Roman"/>
          <w:b/>
          <w:sz w:val="24"/>
          <w:szCs w:val="24"/>
        </w:rPr>
        <w:t>Y LA DIVULGACIÓN DE LA HISTORIA</w:t>
      </w:r>
    </w:p>
    <w:p w:rsidR="00141DC7" w:rsidRPr="002D7201" w:rsidRDefault="00141DC7" w:rsidP="00141DC7">
      <w:pPr>
        <w:spacing w:line="480" w:lineRule="auto"/>
        <w:jc w:val="right"/>
        <w:rPr>
          <w:rFonts w:ascii="Times New Roman" w:hAnsi="Times New Roman"/>
          <w:sz w:val="24"/>
          <w:szCs w:val="24"/>
        </w:rPr>
      </w:pPr>
      <w:r w:rsidRPr="002D7201">
        <w:rPr>
          <w:rFonts w:ascii="Times New Roman" w:hAnsi="Times New Roman"/>
          <w:sz w:val="24"/>
          <w:szCs w:val="24"/>
        </w:rPr>
        <w:t>Luis Enrique Moguel Aquino</w:t>
      </w:r>
    </w:p>
    <w:p w:rsidR="00141DC7" w:rsidRPr="002D7201" w:rsidRDefault="00141DC7" w:rsidP="00141DC7">
      <w:pPr>
        <w:spacing w:line="480" w:lineRule="auto"/>
        <w:jc w:val="both"/>
        <w:rPr>
          <w:rFonts w:ascii="Times New Roman" w:hAnsi="Times New Roman"/>
          <w:sz w:val="24"/>
          <w:szCs w:val="24"/>
        </w:rPr>
      </w:pPr>
    </w:p>
    <w:p w:rsidR="00141DC7" w:rsidRDefault="00141DC7" w:rsidP="00141DC7">
      <w:pPr>
        <w:spacing w:line="480" w:lineRule="auto"/>
        <w:jc w:val="both"/>
        <w:rPr>
          <w:rFonts w:ascii="Times New Roman" w:hAnsi="Times New Roman"/>
          <w:sz w:val="24"/>
          <w:szCs w:val="24"/>
        </w:rPr>
      </w:pPr>
      <w:r w:rsidRPr="002D7201">
        <w:rPr>
          <w:rFonts w:ascii="Times New Roman" w:hAnsi="Times New Roman"/>
          <w:sz w:val="24"/>
          <w:szCs w:val="24"/>
        </w:rPr>
        <w:t xml:space="preserve">En </w:t>
      </w:r>
      <w:r w:rsidRPr="002D7201">
        <w:rPr>
          <w:rFonts w:ascii="Times New Roman" w:hAnsi="Times New Roman"/>
          <w:i/>
          <w:sz w:val="24"/>
          <w:szCs w:val="24"/>
        </w:rPr>
        <w:t>La estructura de las revoluciones científicas</w:t>
      </w:r>
      <w:r w:rsidRPr="002D7201">
        <w:rPr>
          <w:rFonts w:ascii="Times New Roman" w:hAnsi="Times New Roman"/>
          <w:sz w:val="24"/>
          <w:szCs w:val="24"/>
        </w:rPr>
        <w:t>, su autor, Thomas S. Kuhn, establece que las revoluciones científicas pasan generalmente inadvertidas. Esto se debe a que las fuentes por medio de las cuales tanto los legos como los propios científicos construyen su imagen del quehacer científico ocultan las contradicciones que lo hacen progresar. Entre estas fuentes se encuentran los libros de texto, las filosofías que explican cierto paradigma y las obras de divulgación. Todos estos mecanismos tiene en común remitirse a “un cuerpo ya articulado de problemas datos y teoría” propios del paradigma con el que la comunidad científica está comprometida en el momento de su producción.</w:t>
      </w:r>
      <w:r w:rsidRPr="002D7201">
        <w:rPr>
          <w:rStyle w:val="Refdenotaalpie"/>
          <w:rFonts w:ascii="Times New Roman" w:hAnsi="Times New Roman"/>
          <w:sz w:val="24"/>
          <w:szCs w:val="24"/>
        </w:rPr>
        <w:footnoteReference w:id="1"/>
      </w:r>
      <w:r w:rsidRPr="002D7201">
        <w:rPr>
          <w:rFonts w:ascii="Times New Roman" w:hAnsi="Times New Roman"/>
          <w:sz w:val="24"/>
          <w:szCs w:val="24"/>
        </w:rPr>
        <w:t xml:space="preserve"> </w:t>
      </w:r>
      <w:r w:rsidRPr="002D7201">
        <w:rPr>
          <w:rFonts w:ascii="Times New Roman" w:hAnsi="Times New Roman"/>
          <w:sz w:val="24"/>
          <w:szCs w:val="24"/>
        </w:rPr>
        <w:tab/>
        <w:t>Este tipo de obras reescriben paulatina y discreta pero constantemente los problemas y las reglas de la ciencia normal una vez que ha ocurrido una revolución enmascarando su función y, en última instancia, su existencia misma.</w:t>
      </w:r>
      <w:r>
        <w:rPr>
          <w:rFonts w:ascii="Times New Roman" w:hAnsi="Times New Roman"/>
          <w:sz w:val="24"/>
          <w:szCs w:val="24"/>
        </w:rPr>
        <w:t xml:space="preserve"> </w:t>
      </w:r>
      <w:r w:rsidRPr="002D7201">
        <w:rPr>
          <w:rFonts w:ascii="Times New Roman" w:hAnsi="Times New Roman"/>
          <w:sz w:val="24"/>
          <w:szCs w:val="24"/>
        </w:rPr>
        <w:t>Quienes consumen los libros de texto o de divulgación sólo ac</w:t>
      </w:r>
      <w:r>
        <w:rPr>
          <w:rFonts w:ascii="Times New Roman" w:hAnsi="Times New Roman"/>
          <w:sz w:val="24"/>
          <w:szCs w:val="24"/>
        </w:rPr>
        <w:t>c</w:t>
      </w:r>
      <w:r w:rsidRPr="002D7201">
        <w:rPr>
          <w:rFonts w:ascii="Times New Roman" w:hAnsi="Times New Roman"/>
          <w:sz w:val="24"/>
          <w:szCs w:val="24"/>
        </w:rPr>
        <w:t>eden al resultado estable de las últimas revoluciones sin enterarse de los debates que llevaron a tales conclusiones ni de los paradigmas que fueron desplazados por el dominante.</w:t>
      </w:r>
    </w:p>
    <w:p w:rsidR="00141DC7" w:rsidRPr="002D7201" w:rsidRDefault="00141DC7" w:rsidP="00141DC7">
      <w:pPr>
        <w:spacing w:line="480" w:lineRule="auto"/>
        <w:ind w:firstLine="708"/>
        <w:jc w:val="both"/>
        <w:rPr>
          <w:rFonts w:ascii="Times New Roman" w:hAnsi="Times New Roman"/>
          <w:sz w:val="24"/>
          <w:szCs w:val="24"/>
        </w:rPr>
      </w:pPr>
      <w:r w:rsidRPr="002D7201">
        <w:rPr>
          <w:rFonts w:ascii="Times New Roman" w:hAnsi="Times New Roman"/>
          <w:sz w:val="24"/>
          <w:szCs w:val="24"/>
        </w:rPr>
        <w:t xml:space="preserve">En el desarrollo de la historia como disciplina de conocimiento el planteamiento de Kuhn parece cumplirse, por lo menos hasta el último tercio del siglo XX. México, país con una profunda tradición historiográfica, ofrece numeroso ejemplos al respecto. </w:t>
      </w:r>
    </w:p>
    <w:p w:rsidR="00141DC7" w:rsidRPr="002D7201" w:rsidRDefault="00141DC7" w:rsidP="00141DC7">
      <w:pPr>
        <w:spacing w:line="480" w:lineRule="auto"/>
        <w:jc w:val="both"/>
        <w:rPr>
          <w:rFonts w:ascii="Times New Roman" w:hAnsi="Times New Roman"/>
          <w:sz w:val="24"/>
          <w:szCs w:val="24"/>
        </w:rPr>
      </w:pPr>
      <w:r w:rsidRPr="002D7201">
        <w:rPr>
          <w:rFonts w:ascii="Times New Roman" w:hAnsi="Times New Roman"/>
          <w:sz w:val="24"/>
          <w:szCs w:val="24"/>
        </w:rPr>
        <w:lastRenderedPageBreak/>
        <w:tab/>
        <w:t>El tercer cuarto del siglo XIX fue testigo en nuestro país de una rica producción sobre historia patria que reflejaba los cánones de una historia no profesional pero que respondía a los problemas planteados en su momento y se ajustaba a su realidad, condiciones indispensables para que cierto paradigma de conocimiento se imponga.</w:t>
      </w:r>
      <w:r w:rsidRPr="002D7201">
        <w:rPr>
          <w:rStyle w:val="Refdenotaalpie"/>
          <w:rFonts w:ascii="Times New Roman" w:hAnsi="Times New Roman"/>
          <w:sz w:val="24"/>
          <w:szCs w:val="24"/>
        </w:rPr>
        <w:footnoteReference w:id="2"/>
      </w:r>
      <w:r w:rsidRPr="002D7201">
        <w:rPr>
          <w:rFonts w:ascii="Times New Roman" w:hAnsi="Times New Roman"/>
          <w:sz w:val="24"/>
          <w:szCs w:val="24"/>
        </w:rPr>
        <w:t xml:space="preserve"> Los catecismos de historia patria </w:t>
      </w:r>
      <w:r>
        <w:rPr>
          <w:rFonts w:ascii="Times New Roman" w:hAnsi="Times New Roman"/>
          <w:sz w:val="24"/>
          <w:szCs w:val="24"/>
        </w:rPr>
        <w:t>–</w:t>
      </w:r>
      <w:r w:rsidRPr="002D7201">
        <w:rPr>
          <w:rFonts w:ascii="Times New Roman" w:hAnsi="Times New Roman"/>
          <w:sz w:val="24"/>
          <w:szCs w:val="24"/>
        </w:rPr>
        <w:t xml:space="preserve">de los que el elaborado por Manuel </w:t>
      </w:r>
      <w:proofErr w:type="spellStart"/>
      <w:r w:rsidRPr="002D7201">
        <w:rPr>
          <w:rFonts w:ascii="Times New Roman" w:hAnsi="Times New Roman"/>
          <w:sz w:val="24"/>
          <w:szCs w:val="24"/>
        </w:rPr>
        <w:t>Payno</w:t>
      </w:r>
      <w:proofErr w:type="spellEnd"/>
      <w:r w:rsidRPr="002D7201">
        <w:rPr>
          <w:rFonts w:ascii="Times New Roman" w:hAnsi="Times New Roman"/>
          <w:sz w:val="24"/>
          <w:szCs w:val="24"/>
        </w:rPr>
        <w:t xml:space="preserve"> se convirtió en un clásico</w:t>
      </w:r>
      <w:r>
        <w:rPr>
          <w:rFonts w:ascii="Times New Roman" w:hAnsi="Times New Roman"/>
          <w:sz w:val="24"/>
          <w:szCs w:val="24"/>
        </w:rPr>
        <w:t xml:space="preserve">– </w:t>
      </w:r>
      <w:r w:rsidRPr="002D7201">
        <w:rPr>
          <w:rFonts w:ascii="Times New Roman" w:hAnsi="Times New Roman"/>
          <w:sz w:val="24"/>
          <w:szCs w:val="24"/>
        </w:rPr>
        <w:t xml:space="preserve">funcionaron como libros de divulgación y casi siempre también de texto, </w:t>
      </w:r>
      <w:r>
        <w:rPr>
          <w:rFonts w:ascii="Times New Roman" w:hAnsi="Times New Roman"/>
          <w:sz w:val="24"/>
          <w:szCs w:val="24"/>
        </w:rPr>
        <w:t>en los que</w:t>
      </w:r>
      <w:r w:rsidRPr="002D7201">
        <w:rPr>
          <w:rFonts w:ascii="Times New Roman" w:hAnsi="Times New Roman"/>
          <w:sz w:val="24"/>
          <w:szCs w:val="24"/>
        </w:rPr>
        <w:t xml:space="preserve"> el público se aproximaba ya al planteamiento conservador o bien al liberal del pasado nacional, hasta que este último se impuso. </w:t>
      </w:r>
    </w:p>
    <w:p w:rsidR="00141DC7" w:rsidRPr="002D7201" w:rsidRDefault="00141DC7" w:rsidP="00141DC7">
      <w:pPr>
        <w:spacing w:line="480" w:lineRule="auto"/>
        <w:ind w:firstLine="708"/>
        <w:jc w:val="both"/>
        <w:rPr>
          <w:rFonts w:ascii="Times New Roman" w:hAnsi="Times New Roman"/>
          <w:sz w:val="24"/>
          <w:szCs w:val="24"/>
        </w:rPr>
      </w:pPr>
      <w:r>
        <w:rPr>
          <w:rFonts w:ascii="Times New Roman" w:hAnsi="Times New Roman"/>
          <w:sz w:val="24"/>
          <w:szCs w:val="24"/>
        </w:rPr>
        <w:t xml:space="preserve">La última parte del </w:t>
      </w:r>
      <w:proofErr w:type="spellStart"/>
      <w:r>
        <w:rPr>
          <w:rFonts w:ascii="Times New Roman" w:hAnsi="Times New Roman"/>
          <w:sz w:val="24"/>
          <w:szCs w:val="24"/>
        </w:rPr>
        <w:t>P</w:t>
      </w:r>
      <w:r w:rsidRPr="002D7201">
        <w:rPr>
          <w:rFonts w:ascii="Times New Roman" w:hAnsi="Times New Roman"/>
          <w:sz w:val="24"/>
          <w:szCs w:val="24"/>
        </w:rPr>
        <w:t>orfiriato</w:t>
      </w:r>
      <w:proofErr w:type="spellEnd"/>
      <w:r w:rsidRPr="002D7201">
        <w:rPr>
          <w:rFonts w:ascii="Times New Roman" w:hAnsi="Times New Roman"/>
          <w:sz w:val="24"/>
          <w:szCs w:val="24"/>
        </w:rPr>
        <w:t xml:space="preserve"> asistió a la maduración de esa historiografía liberal, pero encuadrada en la filosofía positivista. El acopio de nuevas fuentes de investigación y la aplicación de métodos que también en México harían posible reconstruir el pasado “tal como había ocurrido” derivaron en un paradigma que explicaba la historia del país como una línea evolutiva. </w:t>
      </w:r>
      <w:r w:rsidRPr="002D7201">
        <w:rPr>
          <w:rFonts w:ascii="Times New Roman" w:hAnsi="Times New Roman"/>
          <w:i/>
          <w:sz w:val="24"/>
          <w:szCs w:val="24"/>
        </w:rPr>
        <w:t>México a través de los siglos</w:t>
      </w:r>
      <w:r w:rsidRPr="002D7201">
        <w:rPr>
          <w:rFonts w:ascii="Times New Roman" w:hAnsi="Times New Roman"/>
          <w:sz w:val="24"/>
          <w:szCs w:val="24"/>
        </w:rPr>
        <w:t xml:space="preserve">, obra colectiva liderada por Vicente Riva Palacio, y </w:t>
      </w:r>
      <w:r w:rsidRPr="002D7201">
        <w:rPr>
          <w:rFonts w:ascii="Times New Roman" w:hAnsi="Times New Roman"/>
          <w:i/>
          <w:sz w:val="24"/>
          <w:szCs w:val="24"/>
        </w:rPr>
        <w:t>México, su evolución social</w:t>
      </w:r>
      <w:r w:rsidRPr="002D7201">
        <w:rPr>
          <w:rFonts w:ascii="Times New Roman" w:hAnsi="Times New Roman"/>
          <w:sz w:val="24"/>
          <w:szCs w:val="24"/>
        </w:rPr>
        <w:t>, escrita por Justo Sierra, son los ejemplos de obras de divulgación y consulta escolar que mejor reflejan esta visión dominante en su época. En 1910, con las fiestas del centenario, llegó a su punto culminante esta versión de historia patria que encubría las intensas controversias de las que había sido objeto en la mayor parte del siglo XIX.</w:t>
      </w:r>
      <w:r w:rsidRPr="002D7201">
        <w:rPr>
          <w:rStyle w:val="Refdenotaalpie"/>
          <w:rFonts w:ascii="Times New Roman" w:hAnsi="Times New Roman"/>
          <w:sz w:val="24"/>
          <w:szCs w:val="24"/>
        </w:rPr>
        <w:footnoteReference w:id="3"/>
      </w:r>
    </w:p>
    <w:p w:rsidR="00141DC7" w:rsidRPr="002D7201" w:rsidRDefault="00141DC7" w:rsidP="00141DC7">
      <w:pPr>
        <w:spacing w:line="480" w:lineRule="auto"/>
        <w:jc w:val="both"/>
        <w:rPr>
          <w:rFonts w:ascii="Times New Roman" w:hAnsi="Times New Roman"/>
          <w:sz w:val="24"/>
          <w:szCs w:val="24"/>
        </w:rPr>
      </w:pPr>
      <w:r w:rsidRPr="002D7201">
        <w:rPr>
          <w:rFonts w:ascii="Times New Roman" w:hAnsi="Times New Roman"/>
          <w:sz w:val="24"/>
          <w:szCs w:val="24"/>
        </w:rPr>
        <w:tab/>
        <w:t xml:space="preserve">La década de los años cuarenta del siglo XX marcó un punto de quiebre decisivo en la tradición historiográfica mexicana al consolidarse la profesionalización del estudio de la </w:t>
      </w:r>
      <w:r w:rsidRPr="002D7201">
        <w:rPr>
          <w:rFonts w:ascii="Times New Roman" w:hAnsi="Times New Roman"/>
          <w:sz w:val="24"/>
          <w:szCs w:val="24"/>
        </w:rPr>
        <w:lastRenderedPageBreak/>
        <w:t xml:space="preserve">historia merced al establecimiento de instituciones creadas con ese objeto, decisión que estuvo fuertemente influida por la llegada de destacados historiadores y científicos sociales españoles expulsados por la guerra civil en su país. Lo anterior sentó las bases del deslinde entre la historia de divulgación y la producida en los ámbitos académicos. </w:t>
      </w:r>
    </w:p>
    <w:p w:rsidR="00141DC7" w:rsidRPr="002D7201" w:rsidRDefault="00141DC7" w:rsidP="00141DC7">
      <w:pPr>
        <w:spacing w:line="480" w:lineRule="auto"/>
        <w:ind w:firstLine="708"/>
        <w:jc w:val="both"/>
        <w:rPr>
          <w:rFonts w:ascii="Times New Roman" w:hAnsi="Times New Roman"/>
          <w:sz w:val="24"/>
          <w:szCs w:val="24"/>
        </w:rPr>
      </w:pPr>
      <w:r w:rsidRPr="002D7201">
        <w:rPr>
          <w:rFonts w:ascii="Times New Roman" w:hAnsi="Times New Roman"/>
          <w:sz w:val="24"/>
          <w:szCs w:val="24"/>
        </w:rPr>
        <w:t>No obstante los crecientes esfuerzos por hacer una revisión científica de nuestra historia,</w:t>
      </w:r>
      <w:r w:rsidRPr="002D7201">
        <w:rPr>
          <w:rStyle w:val="Refdenotaalpie"/>
          <w:rFonts w:ascii="Times New Roman" w:hAnsi="Times New Roman"/>
          <w:sz w:val="24"/>
          <w:szCs w:val="24"/>
        </w:rPr>
        <w:footnoteReference w:id="4"/>
      </w:r>
      <w:r w:rsidRPr="002D7201">
        <w:rPr>
          <w:rFonts w:ascii="Times New Roman" w:hAnsi="Times New Roman"/>
          <w:sz w:val="24"/>
          <w:szCs w:val="24"/>
        </w:rPr>
        <w:t xml:space="preserve"> el paradigma político dominante emanado de otra revolución, la revolución mexicana, impuso a la disciplina sus propias necesidades. Así, en 1960, el diagnóstico del pasado reciente adquirió formato de propaganda con la publicación de </w:t>
      </w:r>
      <w:r w:rsidRPr="002D7201">
        <w:rPr>
          <w:rFonts w:ascii="Times New Roman" w:hAnsi="Times New Roman"/>
          <w:i/>
          <w:sz w:val="24"/>
          <w:szCs w:val="24"/>
        </w:rPr>
        <w:t>México: 50 años de revolución</w:t>
      </w:r>
      <w:r>
        <w:rPr>
          <w:rFonts w:ascii="Times New Roman" w:hAnsi="Times New Roman"/>
          <w:sz w:val="24"/>
          <w:szCs w:val="24"/>
        </w:rPr>
        <w:t>, obra</w:t>
      </w:r>
      <w:r w:rsidRPr="002D7201">
        <w:rPr>
          <w:rFonts w:ascii="Times New Roman" w:hAnsi="Times New Roman"/>
          <w:sz w:val="24"/>
          <w:szCs w:val="24"/>
        </w:rPr>
        <w:t xml:space="preserve"> </w:t>
      </w:r>
      <w:r>
        <w:rPr>
          <w:rFonts w:ascii="Times New Roman" w:hAnsi="Times New Roman"/>
          <w:sz w:val="24"/>
          <w:szCs w:val="24"/>
        </w:rPr>
        <w:t>escrita</w:t>
      </w:r>
      <w:r w:rsidRPr="002D7201">
        <w:rPr>
          <w:rFonts w:ascii="Times New Roman" w:hAnsi="Times New Roman"/>
          <w:sz w:val="24"/>
          <w:szCs w:val="24"/>
        </w:rPr>
        <w:t xml:space="preserve"> para conmemorar el cincuentenario del inicio de la revolución</w:t>
      </w:r>
      <w:r>
        <w:rPr>
          <w:rFonts w:ascii="Times New Roman" w:hAnsi="Times New Roman"/>
          <w:sz w:val="24"/>
          <w:szCs w:val="24"/>
        </w:rPr>
        <w:t xml:space="preserve"> y divulgar sus logros</w:t>
      </w:r>
      <w:r w:rsidRPr="002D7201">
        <w:rPr>
          <w:rFonts w:ascii="Times New Roman" w:hAnsi="Times New Roman"/>
          <w:sz w:val="24"/>
          <w:szCs w:val="24"/>
        </w:rPr>
        <w:t xml:space="preserve">. El ciclo de maduración de este paradigma tuvo su momento climático con la primera entrega, en ese mismo año, de los libros de texto gratuito, incluido el de historia de México. Esta historia oficial no sólo enmascaraba el conflicto </w:t>
      </w:r>
      <w:r>
        <w:rPr>
          <w:rFonts w:ascii="Times New Roman" w:hAnsi="Times New Roman"/>
          <w:sz w:val="24"/>
          <w:szCs w:val="24"/>
        </w:rPr>
        <w:t xml:space="preserve">a </w:t>
      </w:r>
      <w:r w:rsidRPr="002D7201">
        <w:rPr>
          <w:rFonts w:ascii="Times New Roman" w:hAnsi="Times New Roman"/>
          <w:sz w:val="24"/>
          <w:szCs w:val="24"/>
        </w:rPr>
        <w:t>que había dado lugar la revolución política y social de la que era producto, sino también la revolución en la disciplina de conocimiento que la había creado, pues el libro de texto era producto de los más recientes resultados de la investigación académica acerca de los distintos periodos del pasado del país. En este momento coincidía una reescritura doble: la de la historia patria y la de los avances en el estudio de esa misma historia. En tal circunstancia, las palabras de Kuhn parecieran poderse aplicar a cualquiera de los dos casos: “Los ejemplos precedentes muestran, en el contexto de una sola revolución, los comienzos de una reconstrucción de la historia que se completa con regularidad en los textos científicos posrevolucionarios.”</w:t>
      </w:r>
      <w:r w:rsidRPr="002D7201">
        <w:rPr>
          <w:rStyle w:val="Refdenotaalpie"/>
          <w:rFonts w:ascii="Times New Roman" w:hAnsi="Times New Roman"/>
          <w:sz w:val="24"/>
          <w:szCs w:val="24"/>
        </w:rPr>
        <w:footnoteReference w:id="5"/>
      </w:r>
      <w:r w:rsidRPr="002D7201">
        <w:rPr>
          <w:rFonts w:ascii="Times New Roman" w:hAnsi="Times New Roman"/>
          <w:sz w:val="24"/>
          <w:szCs w:val="24"/>
        </w:rPr>
        <w:t xml:space="preserve"> </w:t>
      </w:r>
    </w:p>
    <w:p w:rsidR="00141DC7" w:rsidRPr="002D7201" w:rsidRDefault="00141DC7" w:rsidP="00141DC7">
      <w:pPr>
        <w:spacing w:line="480" w:lineRule="auto"/>
        <w:ind w:firstLine="708"/>
        <w:jc w:val="both"/>
        <w:rPr>
          <w:rFonts w:ascii="Times New Roman" w:hAnsi="Times New Roman"/>
          <w:sz w:val="24"/>
          <w:szCs w:val="24"/>
        </w:rPr>
      </w:pPr>
      <w:r w:rsidRPr="002D7201">
        <w:rPr>
          <w:rFonts w:ascii="Times New Roman" w:hAnsi="Times New Roman"/>
          <w:sz w:val="24"/>
          <w:szCs w:val="24"/>
        </w:rPr>
        <w:lastRenderedPageBreak/>
        <w:t xml:space="preserve">En los últimos 40 años asistimos a un vertiginoso cambio de paradigmas. Después de los años setenta una nueva historiografía, que hizo eco en México del materialismo histórico y de las temáticas y técnicas exploradas por la escuela de los </w:t>
      </w:r>
      <w:proofErr w:type="spellStart"/>
      <w:r w:rsidRPr="002D7201">
        <w:rPr>
          <w:rFonts w:ascii="Times New Roman" w:hAnsi="Times New Roman"/>
          <w:sz w:val="24"/>
          <w:szCs w:val="24"/>
        </w:rPr>
        <w:t>Annales</w:t>
      </w:r>
      <w:proofErr w:type="spellEnd"/>
      <w:r w:rsidRPr="002D7201">
        <w:rPr>
          <w:rFonts w:ascii="Times New Roman" w:hAnsi="Times New Roman"/>
          <w:sz w:val="24"/>
          <w:szCs w:val="24"/>
        </w:rPr>
        <w:t>, comenzó a cuestionar las tesis de la historia oficial.</w:t>
      </w:r>
      <w:r w:rsidRPr="002D7201">
        <w:rPr>
          <w:rStyle w:val="Refdenotaalpie"/>
          <w:rFonts w:ascii="Times New Roman" w:hAnsi="Times New Roman"/>
          <w:sz w:val="24"/>
          <w:szCs w:val="24"/>
        </w:rPr>
        <w:footnoteReference w:id="6"/>
      </w:r>
      <w:r w:rsidRPr="002D7201">
        <w:rPr>
          <w:rFonts w:ascii="Times New Roman" w:hAnsi="Times New Roman"/>
          <w:sz w:val="24"/>
          <w:szCs w:val="24"/>
        </w:rPr>
        <w:t xml:space="preserve"> Sin embargo, si bien los estudios regionales, de la vida cotidiana, de las mentalidades, de los grupos subalternos, etcétera, han tenido gran éxito en el ámbito académico, sus resultados no han podido acompasarse con las transformaciones en los vehículos y mecanismos de divulgación. El libro de texto oficial prolongó su imperio, no obstante haberse modificado tanto el desarrollo de los estudios históricos como los medios de comunicación, principalmente la radio y la televisión. Estos medios, si fueron explotados como fue el caso de las telenovelas históricas de los años noventa, mantuvieron l</w:t>
      </w:r>
      <w:r>
        <w:rPr>
          <w:rFonts w:ascii="Times New Roman" w:hAnsi="Times New Roman"/>
          <w:sz w:val="24"/>
          <w:szCs w:val="24"/>
        </w:rPr>
        <w:t>os mismo</w:t>
      </w:r>
      <w:r w:rsidRPr="002D7201">
        <w:rPr>
          <w:rFonts w:ascii="Times New Roman" w:hAnsi="Times New Roman"/>
          <w:sz w:val="24"/>
          <w:szCs w:val="24"/>
        </w:rPr>
        <w:t xml:space="preserve">s </w:t>
      </w:r>
      <w:r>
        <w:rPr>
          <w:rFonts w:ascii="Times New Roman" w:hAnsi="Times New Roman"/>
          <w:sz w:val="24"/>
          <w:szCs w:val="24"/>
        </w:rPr>
        <w:t>argumentos</w:t>
      </w:r>
      <w:r w:rsidRPr="002D7201">
        <w:rPr>
          <w:rFonts w:ascii="Times New Roman" w:hAnsi="Times New Roman"/>
          <w:sz w:val="24"/>
          <w:szCs w:val="24"/>
        </w:rPr>
        <w:t xml:space="preserve"> de la historia oficial, desaprovechando la oportunidad de vulgarizar los resultados de la historia académica.</w:t>
      </w:r>
      <w:r w:rsidRPr="002D7201">
        <w:rPr>
          <w:rStyle w:val="Refdenotaalpie"/>
          <w:rFonts w:ascii="Times New Roman" w:hAnsi="Times New Roman"/>
          <w:sz w:val="24"/>
          <w:szCs w:val="24"/>
        </w:rPr>
        <w:footnoteReference w:id="7"/>
      </w:r>
    </w:p>
    <w:p w:rsidR="00141DC7" w:rsidRPr="002D7201" w:rsidRDefault="00141DC7" w:rsidP="00141DC7">
      <w:pPr>
        <w:spacing w:line="480" w:lineRule="auto"/>
        <w:ind w:firstLine="708"/>
        <w:jc w:val="both"/>
        <w:rPr>
          <w:rFonts w:ascii="Times New Roman" w:hAnsi="Times New Roman"/>
          <w:sz w:val="24"/>
          <w:szCs w:val="24"/>
        </w:rPr>
      </w:pPr>
      <w:r w:rsidRPr="002D7201">
        <w:rPr>
          <w:rFonts w:ascii="Times New Roman" w:hAnsi="Times New Roman"/>
          <w:sz w:val="24"/>
          <w:szCs w:val="24"/>
        </w:rPr>
        <w:t xml:space="preserve">Si bien Kuhn afirma que una de las características de las comunidades científicas es su relativa independencia de la sociedad y del Estado en la formulación de sus propias reglas del juego, lo cierto es que en disciplinas como la historia y las ciencias sociales los cambios en la sociedad sí las afectan de manera sensible. Así ocurrió en México a finales del siglo XX y decididamente al iniciar el siglo XXI cuando el fin del predominio del régimen emanado de la revolución abrió un periodo de transición cuyos efectos aún es </w:t>
      </w:r>
      <w:r>
        <w:rPr>
          <w:rFonts w:ascii="Times New Roman" w:hAnsi="Times New Roman"/>
          <w:sz w:val="24"/>
          <w:szCs w:val="24"/>
        </w:rPr>
        <w:t>difícil</w:t>
      </w:r>
      <w:r w:rsidRPr="002D7201">
        <w:rPr>
          <w:rFonts w:ascii="Times New Roman" w:hAnsi="Times New Roman"/>
          <w:sz w:val="24"/>
          <w:szCs w:val="24"/>
        </w:rPr>
        <w:t xml:space="preserve"> calibrar a cabalidad. Si bien los estudios históricos habían experimentado décadas atrás notables avances en el ámbito académico, sólo después del año 2000 los estudiosos </w:t>
      </w:r>
      <w:r w:rsidRPr="002D7201">
        <w:rPr>
          <w:rFonts w:ascii="Times New Roman" w:hAnsi="Times New Roman"/>
          <w:sz w:val="24"/>
          <w:szCs w:val="24"/>
        </w:rPr>
        <w:lastRenderedPageBreak/>
        <w:t xml:space="preserve">han comenzado a aprovechar algunos espacios en los medios masivos de comunicación para presentar al público los avances de sus investigaciones. Sin embargo, a falta de un paradigma de conjunto que sustituya al prevaleciente durante el siglo pasado, vigente todavía en gran parte del público, tales resultados se ofrecen </w:t>
      </w:r>
      <w:r>
        <w:rPr>
          <w:rFonts w:ascii="Times New Roman" w:hAnsi="Times New Roman"/>
          <w:sz w:val="24"/>
          <w:szCs w:val="24"/>
        </w:rPr>
        <w:t>fragmentarios</w:t>
      </w:r>
      <w:r w:rsidRPr="002D7201">
        <w:rPr>
          <w:rFonts w:ascii="Times New Roman" w:hAnsi="Times New Roman"/>
          <w:sz w:val="24"/>
          <w:szCs w:val="24"/>
        </w:rPr>
        <w:t xml:space="preserve"> e inconexos.</w:t>
      </w:r>
    </w:p>
    <w:p w:rsidR="00141DC7" w:rsidRPr="002D7201" w:rsidRDefault="00141DC7" w:rsidP="00141DC7">
      <w:pPr>
        <w:spacing w:line="480" w:lineRule="auto"/>
        <w:ind w:firstLine="708"/>
        <w:jc w:val="both"/>
        <w:rPr>
          <w:rFonts w:ascii="Times New Roman" w:hAnsi="Times New Roman"/>
          <w:sz w:val="24"/>
          <w:szCs w:val="24"/>
        </w:rPr>
      </w:pPr>
      <w:r w:rsidRPr="002D7201">
        <w:rPr>
          <w:rFonts w:ascii="Times New Roman" w:hAnsi="Times New Roman"/>
          <w:sz w:val="24"/>
          <w:szCs w:val="24"/>
        </w:rPr>
        <w:t>La coyuntura creada en 2010 a propósito de las conmemoraciones del bicentenario de la independencia y el centenario de la revolución ha abierto un espacio privilegiado para la divulgación de la historia. Se presenta ahora la oportunidad de desplazar el paradigma dominante durante tantas décadas por uno que dé respuesta a los problemas que no han sido resueltos con las aproximaciones de esa ciencia normal. En ese empeño, dicho paradigma debería mostrar los resultados de lo que Kuhn llama “investigación extraordinaria”, es decir aquella que se desarrolla en el preludio de la crisis de la ciencia normal o bien antes de que se reconozca tal crisis.</w:t>
      </w:r>
      <w:r w:rsidRPr="002D7201">
        <w:rPr>
          <w:rStyle w:val="Refdenotaalpie"/>
          <w:rFonts w:ascii="Times New Roman" w:hAnsi="Times New Roman"/>
          <w:sz w:val="24"/>
          <w:szCs w:val="24"/>
        </w:rPr>
        <w:footnoteReference w:id="8"/>
      </w:r>
      <w:r w:rsidRPr="002D7201">
        <w:rPr>
          <w:rFonts w:ascii="Times New Roman" w:hAnsi="Times New Roman"/>
          <w:sz w:val="24"/>
          <w:szCs w:val="24"/>
        </w:rPr>
        <w:t xml:space="preserve"> </w:t>
      </w:r>
    </w:p>
    <w:p w:rsidR="00141DC7" w:rsidRPr="002D7201" w:rsidRDefault="00141DC7" w:rsidP="00141DC7">
      <w:pPr>
        <w:spacing w:line="480" w:lineRule="auto"/>
        <w:ind w:firstLine="708"/>
        <w:jc w:val="both"/>
        <w:rPr>
          <w:rFonts w:ascii="Times New Roman" w:hAnsi="Times New Roman"/>
          <w:sz w:val="24"/>
          <w:szCs w:val="24"/>
        </w:rPr>
      </w:pPr>
      <w:r w:rsidRPr="002D7201">
        <w:rPr>
          <w:rFonts w:ascii="Times New Roman" w:hAnsi="Times New Roman"/>
          <w:sz w:val="24"/>
          <w:szCs w:val="24"/>
        </w:rPr>
        <w:t xml:space="preserve">Hasta el momento, lo que se vislumbra es una avalancha de contenidos históricos de muy diversa naturaleza presentados en los más diferentes formatos sin que pueda columbrarse coherencia y consistencia en el conjunto. Ha ocurrido una verdadera explosión en el mundo editorial de divulgación, donde abundan las historias centradas en la “desmitificación” de los próceres, esto es, la explotación del chisme histórico, pero donde son menos frecuentes </w:t>
      </w:r>
      <w:r>
        <w:rPr>
          <w:rFonts w:ascii="Times New Roman" w:hAnsi="Times New Roman"/>
          <w:sz w:val="24"/>
          <w:szCs w:val="24"/>
        </w:rPr>
        <w:t>–</w:t>
      </w:r>
      <w:r w:rsidRPr="002D7201">
        <w:rPr>
          <w:rFonts w:ascii="Times New Roman" w:hAnsi="Times New Roman"/>
          <w:sz w:val="24"/>
          <w:szCs w:val="24"/>
        </w:rPr>
        <w:t>aunque aparecen felizmente</w:t>
      </w:r>
      <w:r>
        <w:rPr>
          <w:rFonts w:ascii="Times New Roman" w:hAnsi="Times New Roman"/>
          <w:sz w:val="24"/>
          <w:szCs w:val="24"/>
        </w:rPr>
        <w:t xml:space="preserve">– </w:t>
      </w:r>
      <w:r w:rsidRPr="002D7201">
        <w:rPr>
          <w:rFonts w:ascii="Times New Roman" w:hAnsi="Times New Roman"/>
          <w:sz w:val="24"/>
          <w:szCs w:val="24"/>
        </w:rPr>
        <w:t xml:space="preserve">las obras que procuran integrar y divulgar una visión científica y moderna de nuestro pasado. Aquéllas, al apostar fundamentalmente al éxito comercial, no consiguen minar el paradigma dominante, no obstante su presunta vocación iconoclasta. Éstas, en cambio, hacen la lenta e invisible labor de zapa que caracteriza precisamente a las revoluciones científicas en su afán de dar </w:t>
      </w:r>
      <w:r w:rsidRPr="002D7201">
        <w:rPr>
          <w:rFonts w:ascii="Times New Roman" w:hAnsi="Times New Roman"/>
          <w:sz w:val="24"/>
          <w:szCs w:val="24"/>
        </w:rPr>
        <w:lastRenderedPageBreak/>
        <w:t xml:space="preserve">respuestas a los problemas de su momento. En el caso que nos ocupa, esta historia debe ajustarse a los requerimientos de una sociedad en transición que, desde una postura crítica, reconozca su pluralidad, favorezca una cultura democrática, coadyuve a la actualización de la relación de los mexicanos con el mundo en un contexto notablemente distinto al del siglo XX, etcétera. </w:t>
      </w:r>
      <w:r w:rsidRPr="002D7201">
        <w:rPr>
          <w:rStyle w:val="Refdenotaalpie"/>
          <w:rFonts w:ascii="Times New Roman" w:hAnsi="Times New Roman"/>
          <w:sz w:val="24"/>
          <w:szCs w:val="24"/>
        </w:rPr>
        <w:footnoteReference w:id="9"/>
      </w:r>
      <w:r w:rsidRPr="002D7201">
        <w:rPr>
          <w:rFonts w:ascii="Times New Roman" w:hAnsi="Times New Roman"/>
          <w:sz w:val="24"/>
          <w:szCs w:val="24"/>
        </w:rPr>
        <w:t xml:space="preserve"> </w:t>
      </w:r>
    </w:p>
    <w:p w:rsidR="00141DC7" w:rsidRPr="002F4033" w:rsidRDefault="00141DC7" w:rsidP="00141DC7">
      <w:pPr>
        <w:spacing w:line="480" w:lineRule="auto"/>
        <w:ind w:firstLine="708"/>
        <w:jc w:val="both"/>
        <w:rPr>
          <w:rFonts w:ascii="Times New Roman" w:hAnsi="Times New Roman"/>
          <w:sz w:val="24"/>
          <w:szCs w:val="24"/>
        </w:rPr>
      </w:pPr>
      <w:r w:rsidRPr="002D7201">
        <w:rPr>
          <w:rFonts w:ascii="Times New Roman" w:hAnsi="Times New Roman"/>
          <w:sz w:val="24"/>
          <w:szCs w:val="24"/>
        </w:rPr>
        <w:t>El uso creciente de las nuevas tecnologías, particularmente de Internet, pone sobre la mesa la presencia de elementos que seguramente tienen un papel que jugar en el desarrollo de la ciencia normal y de las revoluciones científicas por venir. A contrapelo de la caracterización de Kuhn de las comunidades científicas como núcleos cerrados y vueltos de espaldas a la sociedad, la capacidad de Internet de poner al alcance de numerosas personas cierto tipo de información, así como la posibilidad de actuar en tiempo real, entre otras características, ha comenzado a minar las fortificaciones de dichas comunidades</w:t>
      </w:r>
      <w:r w:rsidRPr="002F4033">
        <w:rPr>
          <w:rFonts w:ascii="Times New Roman" w:hAnsi="Times New Roman"/>
          <w:sz w:val="24"/>
          <w:szCs w:val="24"/>
        </w:rPr>
        <w:t xml:space="preserve">. </w:t>
      </w:r>
      <w:r w:rsidR="002F4033" w:rsidRPr="002F4033">
        <w:rPr>
          <w:rFonts w:ascii="Times New Roman" w:hAnsi="Times New Roman"/>
          <w:sz w:val="24"/>
          <w:szCs w:val="24"/>
        </w:rPr>
        <w:t>Esta situación inédita</w:t>
      </w:r>
      <w:r w:rsidR="002F4033">
        <w:rPr>
          <w:rFonts w:ascii="Times New Roman" w:hAnsi="Times New Roman"/>
          <w:sz w:val="24"/>
          <w:szCs w:val="24"/>
        </w:rPr>
        <w:t xml:space="preserve"> ha trastocado numerosos</w:t>
      </w:r>
      <w:r w:rsidR="002F4033" w:rsidRPr="002F4033">
        <w:rPr>
          <w:rFonts w:ascii="Times New Roman" w:hAnsi="Times New Roman"/>
          <w:sz w:val="24"/>
          <w:szCs w:val="24"/>
        </w:rPr>
        <w:t xml:space="preserve"> </w:t>
      </w:r>
      <w:r w:rsidR="00864193">
        <w:rPr>
          <w:rFonts w:ascii="Times New Roman" w:hAnsi="Times New Roman"/>
          <w:sz w:val="24"/>
          <w:szCs w:val="24"/>
        </w:rPr>
        <w:t>cánones</w:t>
      </w:r>
      <w:r w:rsidR="002F4033">
        <w:rPr>
          <w:rFonts w:ascii="Times New Roman" w:hAnsi="Times New Roman"/>
          <w:sz w:val="24"/>
          <w:szCs w:val="24"/>
        </w:rPr>
        <w:t xml:space="preserve">, como el </w:t>
      </w:r>
      <w:r w:rsidR="002F4033" w:rsidRPr="002F4033">
        <w:rPr>
          <w:rFonts w:ascii="Times New Roman" w:hAnsi="Times New Roman"/>
          <w:sz w:val="24"/>
          <w:szCs w:val="24"/>
        </w:rPr>
        <w:t xml:space="preserve">de la autoría individual sobre ciertos conocimientos, cuyo derrumbe Mc </w:t>
      </w:r>
      <w:proofErr w:type="spellStart"/>
      <w:r w:rsidR="002F4033" w:rsidRPr="002F4033">
        <w:rPr>
          <w:rFonts w:ascii="Times New Roman" w:hAnsi="Times New Roman"/>
          <w:sz w:val="24"/>
          <w:szCs w:val="24"/>
        </w:rPr>
        <w:t>Luhan</w:t>
      </w:r>
      <w:proofErr w:type="spellEnd"/>
      <w:r w:rsidR="002F4033" w:rsidRPr="002F4033">
        <w:rPr>
          <w:rFonts w:ascii="Times New Roman" w:hAnsi="Times New Roman"/>
          <w:sz w:val="24"/>
          <w:szCs w:val="24"/>
        </w:rPr>
        <w:t xml:space="preserve"> había vislumbrado hace más de cuarenta años tras la aparición de las fotocopiadoras; en 1967 decía: “La xerografía –selector de cerebros que puede usar todo el mundo— anuncia los tiempos de la edición instantánea. Cualquiera puede ser escritor o editor.</w:t>
      </w:r>
      <w:r w:rsidR="002F4033" w:rsidRPr="002F4033">
        <w:rPr>
          <w:rFonts w:ascii="Times New Roman" w:hAnsi="Times New Roman"/>
          <w:sz w:val="24"/>
          <w:szCs w:val="24"/>
        </w:rPr>
        <w:t xml:space="preserve"> […] </w:t>
      </w:r>
      <w:r w:rsidR="002F4033" w:rsidRPr="002F4033">
        <w:rPr>
          <w:rFonts w:ascii="Times New Roman" w:hAnsi="Times New Roman"/>
          <w:sz w:val="24"/>
          <w:szCs w:val="24"/>
        </w:rPr>
        <w:t>Cuanto más entran en juego las nuevas tecnologías</w:t>
      </w:r>
      <w:r w:rsidR="002F4033" w:rsidRPr="002F4033">
        <w:rPr>
          <w:rFonts w:ascii="Times New Roman" w:hAnsi="Times New Roman"/>
          <w:sz w:val="24"/>
          <w:szCs w:val="24"/>
        </w:rPr>
        <w:t xml:space="preserve"> […] </w:t>
      </w:r>
      <w:r w:rsidR="002F4033">
        <w:rPr>
          <w:rFonts w:ascii="Times New Roman" w:hAnsi="Times New Roman"/>
          <w:sz w:val="24"/>
          <w:szCs w:val="24"/>
        </w:rPr>
        <w:t>e</w:t>
      </w:r>
      <w:r w:rsidR="002F4033" w:rsidRPr="002F4033">
        <w:rPr>
          <w:rFonts w:ascii="Times New Roman" w:hAnsi="Times New Roman"/>
          <w:sz w:val="24"/>
          <w:szCs w:val="24"/>
        </w:rPr>
        <w:t>l trabajo en equipo sucede al esfuerzo privado</w:t>
      </w:r>
      <w:r w:rsidR="002F4033">
        <w:rPr>
          <w:rFonts w:ascii="Times New Roman" w:hAnsi="Times New Roman"/>
          <w:sz w:val="24"/>
          <w:szCs w:val="24"/>
        </w:rPr>
        <w:t>”</w:t>
      </w:r>
      <w:r w:rsidR="002F4033" w:rsidRPr="002F4033">
        <w:rPr>
          <w:rFonts w:ascii="Times New Roman" w:hAnsi="Times New Roman"/>
          <w:sz w:val="24"/>
          <w:szCs w:val="24"/>
        </w:rPr>
        <w:t>.</w:t>
      </w:r>
      <w:r w:rsidR="002F4033">
        <w:rPr>
          <w:rStyle w:val="Refdenotaalpie"/>
          <w:rFonts w:ascii="Times New Roman" w:hAnsi="Times New Roman"/>
          <w:sz w:val="24"/>
          <w:szCs w:val="24"/>
        </w:rPr>
        <w:footnoteReference w:id="10"/>
      </w:r>
    </w:p>
    <w:p w:rsidR="00141DC7" w:rsidRPr="002D7201" w:rsidRDefault="00141DC7" w:rsidP="00141DC7">
      <w:pPr>
        <w:spacing w:line="480" w:lineRule="auto"/>
        <w:ind w:firstLine="708"/>
        <w:jc w:val="both"/>
        <w:rPr>
          <w:rFonts w:ascii="Times New Roman" w:hAnsi="Times New Roman"/>
          <w:sz w:val="24"/>
          <w:szCs w:val="24"/>
        </w:rPr>
      </w:pPr>
      <w:r w:rsidRPr="002D7201">
        <w:rPr>
          <w:rFonts w:ascii="Times New Roman" w:hAnsi="Times New Roman"/>
          <w:sz w:val="24"/>
          <w:szCs w:val="24"/>
        </w:rPr>
        <w:t xml:space="preserve">El reciente uso del Internet para divulgar la historia en México, particularmente a raíz de las conmemoraciones de 2010, da evidencia de que las reglas del juego tienen que </w:t>
      </w:r>
      <w:r w:rsidRPr="002D7201">
        <w:rPr>
          <w:rFonts w:ascii="Times New Roman" w:hAnsi="Times New Roman"/>
          <w:sz w:val="24"/>
          <w:szCs w:val="24"/>
        </w:rPr>
        <w:lastRenderedPageBreak/>
        <w:t>cambiar. A diferencia de otros medios de divulgación, Internet permite la interactividad entre quien divulga y sus receptores, lo que obliga a aquél a estar atento de las demandas de éstos y, de hecho, convierte al consumidor en partícipe de la producción de los contenidos divulgados. Dicha relación ha dado lugar a ficciones consentidas como la existencia de perfiles de los próceres de la independencia y de la revolución en Facebook y la consiguiente estela de intercambios entre los héroes virtuales y sus seguidores.</w:t>
      </w:r>
      <w:r w:rsidRPr="002D7201">
        <w:rPr>
          <w:rStyle w:val="Refdenotaalpie"/>
          <w:rFonts w:ascii="Times New Roman" w:hAnsi="Times New Roman"/>
          <w:sz w:val="24"/>
          <w:szCs w:val="24"/>
        </w:rPr>
        <w:footnoteReference w:id="11"/>
      </w:r>
      <w:r w:rsidRPr="002D7201">
        <w:rPr>
          <w:rFonts w:ascii="Times New Roman" w:hAnsi="Times New Roman"/>
          <w:sz w:val="24"/>
          <w:szCs w:val="24"/>
        </w:rPr>
        <w:t xml:space="preserve"> En otra esfera, el público ha tenido la oportunidad de “subir” a la red sus historias de vida o de familiares suyos, enriqueciendo los contenidos.</w:t>
      </w:r>
    </w:p>
    <w:p w:rsidR="00141DC7" w:rsidRDefault="00141DC7" w:rsidP="00141DC7">
      <w:pPr>
        <w:spacing w:line="480" w:lineRule="auto"/>
        <w:ind w:firstLine="708"/>
        <w:jc w:val="both"/>
        <w:rPr>
          <w:rFonts w:ascii="Times New Roman" w:hAnsi="Times New Roman"/>
          <w:sz w:val="24"/>
          <w:szCs w:val="24"/>
        </w:rPr>
      </w:pPr>
      <w:r w:rsidRPr="002D7201">
        <w:rPr>
          <w:rFonts w:ascii="Times New Roman" w:hAnsi="Times New Roman"/>
          <w:sz w:val="24"/>
          <w:szCs w:val="24"/>
        </w:rPr>
        <w:t>Quizá más trascendental que los ejemplos anotados sea la posibilidad de acceder en Internet a materiales “originales”, es decir a las fuentes, sobre distintos mome</w:t>
      </w:r>
      <w:r>
        <w:rPr>
          <w:rFonts w:ascii="Times New Roman" w:hAnsi="Times New Roman"/>
          <w:sz w:val="24"/>
          <w:szCs w:val="24"/>
        </w:rPr>
        <w:t>ntos de nuestro pasado. Aunque é</w:t>
      </w:r>
      <w:r w:rsidRPr="002D7201">
        <w:rPr>
          <w:rFonts w:ascii="Times New Roman" w:hAnsi="Times New Roman"/>
          <w:sz w:val="24"/>
          <w:szCs w:val="24"/>
        </w:rPr>
        <w:t>ste había sido un logro mayor entre la comunidad de historiadores profesionales y dichos materiales se habían venido agregando en sitios especializados con ciertas restricciones, cada vez más se les encuentra en portales dedicados al público no especializado.</w:t>
      </w:r>
      <w:r w:rsidRPr="002D7201">
        <w:rPr>
          <w:rStyle w:val="Refdenotaalpie"/>
          <w:rFonts w:ascii="Times New Roman" w:hAnsi="Times New Roman"/>
          <w:sz w:val="24"/>
          <w:szCs w:val="24"/>
        </w:rPr>
        <w:footnoteReference w:id="12"/>
      </w:r>
      <w:r w:rsidRPr="002D7201">
        <w:rPr>
          <w:rFonts w:ascii="Times New Roman" w:hAnsi="Times New Roman"/>
          <w:sz w:val="24"/>
          <w:szCs w:val="24"/>
        </w:rPr>
        <w:t xml:space="preserve"> Con todos los riesgos que implica su posible manipulación o incluso su incomprensión por parte de legos, la disponibilidad de las fuentes abre la posibilidad de construir un nuevo paradigma que rebase los dogmas de la historia oficial y en el que la sociedad pueda tener un papel activo. </w:t>
      </w:r>
    </w:p>
    <w:p w:rsidR="00141DC7" w:rsidRDefault="00141DC7" w:rsidP="00141DC7">
      <w:pPr>
        <w:spacing w:line="480" w:lineRule="auto"/>
        <w:ind w:firstLine="708"/>
        <w:jc w:val="both"/>
        <w:rPr>
          <w:rFonts w:ascii="Times New Roman" w:hAnsi="Times New Roman"/>
          <w:sz w:val="24"/>
          <w:szCs w:val="24"/>
        </w:rPr>
      </w:pPr>
      <w:r w:rsidRPr="002D7201">
        <w:rPr>
          <w:rFonts w:ascii="Times New Roman" w:hAnsi="Times New Roman"/>
          <w:sz w:val="24"/>
          <w:szCs w:val="24"/>
        </w:rPr>
        <w:t xml:space="preserve">En este nuevo escenario, a diferencia de lo que ocurre en el desarrollo de la ciencia normal en cuanto que los estudiantes “aceptan las teorías por la autoridad del profesor y del </w:t>
      </w:r>
      <w:r w:rsidRPr="002D7201">
        <w:rPr>
          <w:rFonts w:ascii="Times New Roman" w:hAnsi="Times New Roman"/>
          <w:sz w:val="24"/>
          <w:szCs w:val="24"/>
        </w:rPr>
        <w:lastRenderedPageBreak/>
        <w:t>texto, no por las pruebas”,</w:t>
      </w:r>
      <w:r w:rsidRPr="002D7201">
        <w:rPr>
          <w:rStyle w:val="Refdenotaalpie"/>
          <w:rFonts w:ascii="Times New Roman" w:hAnsi="Times New Roman"/>
          <w:sz w:val="24"/>
          <w:szCs w:val="24"/>
        </w:rPr>
        <w:footnoteReference w:id="13"/>
      </w:r>
      <w:r w:rsidRPr="002D7201">
        <w:rPr>
          <w:rFonts w:ascii="Times New Roman" w:hAnsi="Times New Roman"/>
          <w:sz w:val="24"/>
          <w:szCs w:val="24"/>
        </w:rPr>
        <w:t xml:space="preserve"> se está en condiciones de que el discurso de divulgación y/o de texto no dé cuenta de un conjunto articulado de postulados, sino de los problemas a resolver.</w:t>
      </w:r>
      <w:r>
        <w:rPr>
          <w:rFonts w:ascii="Times New Roman" w:hAnsi="Times New Roman"/>
          <w:sz w:val="24"/>
          <w:szCs w:val="24"/>
        </w:rPr>
        <w:t xml:space="preserve"> Este parece ser el punto de coincidencia entre las ventajas de la divulgación</w:t>
      </w:r>
      <w:r w:rsidRPr="002D7201">
        <w:rPr>
          <w:rFonts w:ascii="Times New Roman" w:hAnsi="Times New Roman"/>
          <w:sz w:val="24"/>
          <w:szCs w:val="24"/>
        </w:rPr>
        <w:t xml:space="preserve"> </w:t>
      </w:r>
      <w:r>
        <w:rPr>
          <w:rFonts w:ascii="Times New Roman" w:hAnsi="Times New Roman"/>
          <w:sz w:val="24"/>
          <w:szCs w:val="24"/>
        </w:rPr>
        <w:t>histórica digital y la “investigación extraordinaria” desarrollada por la comunidad académica, pues ambas palancas pueden constituirse en una pinza que termine por convencer acerca de la viabilidad de esta ruta para dar respuestas adecuadas a los requerimientos de la sociedad contemporánea.</w:t>
      </w:r>
      <w:r>
        <w:rPr>
          <w:rStyle w:val="Refdenotaalpie"/>
          <w:rFonts w:ascii="Times New Roman" w:hAnsi="Times New Roman"/>
          <w:sz w:val="24"/>
          <w:szCs w:val="24"/>
        </w:rPr>
        <w:footnoteReference w:id="14"/>
      </w:r>
    </w:p>
    <w:p w:rsidR="00864193" w:rsidRDefault="00141DC7" w:rsidP="00141DC7">
      <w:pPr>
        <w:spacing w:line="480" w:lineRule="auto"/>
        <w:ind w:firstLine="708"/>
        <w:jc w:val="both"/>
        <w:rPr>
          <w:rFonts w:ascii="Times New Roman" w:hAnsi="Times New Roman"/>
          <w:sz w:val="24"/>
          <w:szCs w:val="24"/>
        </w:rPr>
      </w:pPr>
      <w:r>
        <w:rPr>
          <w:rFonts w:ascii="Times New Roman" w:hAnsi="Times New Roman"/>
          <w:sz w:val="24"/>
          <w:szCs w:val="24"/>
        </w:rPr>
        <w:t>Si las revoluciones sociales van dejando de ocurrir según se les vio en el siglo XX, es posible que las revoluciones científicas también hayan dejado de ajustarse al modelo propuesto por Kuhn. De ser cierto, los libros de texto y las obras de divulgación, sobre todo la divulgación realizada por las nuevas tecnologías, podrían hallarse ya no en el momento de consolidación de la ciencia normal sino en algún punto de la crisis y justo en la emergencia de un nuevo paradigma, pues van dejando de ocultar las contradicciones entre las propuestas paradigmáticas para hacerlas completamente visibles.</w:t>
      </w:r>
      <w:r w:rsidR="00864193">
        <w:rPr>
          <w:rFonts w:ascii="Times New Roman" w:hAnsi="Times New Roman"/>
          <w:sz w:val="24"/>
          <w:szCs w:val="24"/>
        </w:rPr>
        <w:t xml:space="preserve"> </w:t>
      </w:r>
    </w:p>
    <w:p w:rsidR="0053529E" w:rsidRDefault="00864193" w:rsidP="00136FB5">
      <w:pPr>
        <w:spacing w:line="480" w:lineRule="auto"/>
        <w:ind w:firstLine="708"/>
        <w:jc w:val="both"/>
      </w:pPr>
      <w:r>
        <w:rPr>
          <w:rFonts w:ascii="Times New Roman" w:hAnsi="Times New Roman"/>
          <w:sz w:val="24"/>
          <w:szCs w:val="24"/>
        </w:rPr>
        <w:t xml:space="preserve">Tal situación ha creado y mantiene un momento de incertidumbre y de oportunidades, en el que un nuevo “ambiente” de comunicación irrumpe dando lugar a ciertos desajustes. Ocurre, como lo asienta </w:t>
      </w:r>
      <w:proofErr w:type="spellStart"/>
      <w:r>
        <w:rPr>
          <w:rFonts w:ascii="Times New Roman" w:hAnsi="Times New Roman"/>
          <w:sz w:val="24"/>
          <w:szCs w:val="24"/>
        </w:rPr>
        <w:t>McLuhan</w:t>
      </w:r>
      <w:proofErr w:type="spellEnd"/>
      <w:r>
        <w:rPr>
          <w:rFonts w:ascii="Times New Roman" w:hAnsi="Times New Roman"/>
          <w:sz w:val="24"/>
          <w:szCs w:val="24"/>
        </w:rPr>
        <w:t>, que “nuestra cultura oficial está luchando por forzar los nuevos medios a hacer la tarea de los viejos”</w:t>
      </w:r>
      <w:r w:rsidR="00136FB5">
        <w:rPr>
          <w:rStyle w:val="Refdenotaalpie"/>
          <w:rFonts w:ascii="Times New Roman" w:hAnsi="Times New Roman"/>
          <w:sz w:val="24"/>
          <w:szCs w:val="24"/>
        </w:rPr>
        <w:footnoteReference w:id="15"/>
      </w:r>
      <w:r w:rsidR="00136FB5" w:rsidRPr="00136FB5">
        <w:rPr>
          <w:rFonts w:ascii="Times New Roman" w:hAnsi="Times New Roman"/>
          <w:sz w:val="24"/>
          <w:szCs w:val="24"/>
        </w:rPr>
        <w:t xml:space="preserve"> </w:t>
      </w:r>
      <w:r w:rsidR="00136FB5">
        <w:rPr>
          <w:rFonts w:ascii="Times New Roman" w:hAnsi="Times New Roman"/>
          <w:sz w:val="24"/>
          <w:szCs w:val="24"/>
        </w:rPr>
        <w:t>y a “ejecutar las tareas de hoy con las herramientas de ayer –con los conceptos de ayer”.</w:t>
      </w:r>
      <w:r w:rsidR="00136FB5">
        <w:rPr>
          <w:rStyle w:val="Refdenotaalpie"/>
          <w:rFonts w:ascii="Times New Roman" w:hAnsi="Times New Roman"/>
          <w:sz w:val="24"/>
          <w:szCs w:val="24"/>
        </w:rPr>
        <w:footnoteReference w:id="16"/>
      </w:r>
      <w:bookmarkStart w:id="0" w:name="_GoBack"/>
      <w:bookmarkEnd w:id="0"/>
    </w:p>
    <w:sectPr w:rsidR="0053529E" w:rsidSect="001E282D">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1DC7" w:rsidRDefault="00141DC7" w:rsidP="00141DC7">
      <w:pPr>
        <w:spacing w:after="0" w:line="240" w:lineRule="auto"/>
      </w:pPr>
      <w:r>
        <w:separator/>
      </w:r>
    </w:p>
  </w:endnote>
  <w:endnote w:type="continuationSeparator" w:id="0">
    <w:p w:rsidR="00141DC7" w:rsidRDefault="00141DC7" w:rsidP="00141D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1DC7" w:rsidRDefault="00141DC7" w:rsidP="00141DC7">
      <w:pPr>
        <w:spacing w:after="0" w:line="240" w:lineRule="auto"/>
      </w:pPr>
      <w:r>
        <w:separator/>
      </w:r>
    </w:p>
  </w:footnote>
  <w:footnote w:type="continuationSeparator" w:id="0">
    <w:p w:rsidR="00141DC7" w:rsidRDefault="00141DC7" w:rsidP="00141DC7">
      <w:pPr>
        <w:spacing w:after="0" w:line="240" w:lineRule="auto"/>
      </w:pPr>
      <w:r>
        <w:continuationSeparator/>
      </w:r>
    </w:p>
  </w:footnote>
  <w:footnote w:id="1">
    <w:p w:rsidR="00141DC7" w:rsidRPr="002F4033" w:rsidRDefault="00141DC7" w:rsidP="00141DC7">
      <w:pPr>
        <w:pStyle w:val="Textonotapie"/>
        <w:spacing w:line="240" w:lineRule="auto"/>
        <w:jc w:val="both"/>
        <w:rPr>
          <w:rFonts w:ascii="Times New Roman" w:hAnsi="Times New Roman"/>
        </w:rPr>
      </w:pPr>
      <w:r w:rsidRPr="002F4033">
        <w:rPr>
          <w:rStyle w:val="Refdenotaalpie"/>
          <w:rFonts w:ascii="Times New Roman" w:hAnsi="Times New Roman"/>
        </w:rPr>
        <w:footnoteRef/>
      </w:r>
      <w:r w:rsidRPr="002F4033">
        <w:rPr>
          <w:rFonts w:ascii="Times New Roman" w:hAnsi="Times New Roman"/>
        </w:rPr>
        <w:t xml:space="preserve"> Thomas S. Kuhn,</w:t>
      </w:r>
      <w:r w:rsidRPr="002F4033">
        <w:rPr>
          <w:rFonts w:ascii="Times New Roman" w:hAnsi="Times New Roman"/>
          <w:i/>
        </w:rPr>
        <w:t xml:space="preserve"> La estructura de las revoluciones científicas</w:t>
      </w:r>
      <w:r w:rsidRPr="002F4033">
        <w:rPr>
          <w:rFonts w:ascii="Times New Roman" w:hAnsi="Times New Roman"/>
        </w:rPr>
        <w:t>, 2ª edición, México, Fondo de Cultura Económica, 2004, p. 232.</w:t>
      </w:r>
    </w:p>
  </w:footnote>
  <w:footnote w:id="2">
    <w:p w:rsidR="00141DC7" w:rsidRPr="002F4033" w:rsidRDefault="00141DC7" w:rsidP="00141DC7">
      <w:pPr>
        <w:pStyle w:val="Textonotapie"/>
        <w:spacing w:line="240" w:lineRule="auto"/>
        <w:jc w:val="both"/>
        <w:rPr>
          <w:rFonts w:ascii="Times New Roman" w:hAnsi="Times New Roman"/>
        </w:rPr>
      </w:pPr>
      <w:r w:rsidRPr="002F4033">
        <w:rPr>
          <w:rStyle w:val="Refdenotaalpie"/>
          <w:rFonts w:ascii="Times New Roman" w:hAnsi="Times New Roman"/>
        </w:rPr>
        <w:footnoteRef/>
      </w:r>
      <w:r w:rsidRPr="002F4033">
        <w:rPr>
          <w:rFonts w:ascii="Times New Roman" w:hAnsi="Times New Roman"/>
        </w:rPr>
        <w:t xml:space="preserve"> </w:t>
      </w:r>
      <w:proofErr w:type="spellStart"/>
      <w:r w:rsidRPr="002F4033">
        <w:rPr>
          <w:rFonts w:ascii="Times New Roman" w:hAnsi="Times New Roman"/>
          <w:i/>
        </w:rPr>
        <w:t>Ibidem</w:t>
      </w:r>
      <w:proofErr w:type="spellEnd"/>
      <w:r w:rsidRPr="002F4033">
        <w:rPr>
          <w:rFonts w:ascii="Times New Roman" w:hAnsi="Times New Roman"/>
        </w:rPr>
        <w:t>, p. 257-258.</w:t>
      </w:r>
    </w:p>
  </w:footnote>
  <w:footnote w:id="3">
    <w:p w:rsidR="00141DC7" w:rsidRPr="002F4033" w:rsidRDefault="00141DC7" w:rsidP="00141DC7">
      <w:pPr>
        <w:pStyle w:val="Textonotapie"/>
        <w:spacing w:line="240" w:lineRule="auto"/>
        <w:jc w:val="both"/>
        <w:rPr>
          <w:rFonts w:ascii="Times New Roman" w:hAnsi="Times New Roman"/>
        </w:rPr>
      </w:pPr>
      <w:r w:rsidRPr="002F4033">
        <w:rPr>
          <w:rStyle w:val="Refdenotaalpie"/>
          <w:rFonts w:ascii="Times New Roman" w:hAnsi="Times New Roman"/>
        </w:rPr>
        <w:footnoteRef/>
      </w:r>
      <w:proofErr w:type="spellStart"/>
      <w:r w:rsidRPr="002F4033">
        <w:rPr>
          <w:rFonts w:ascii="Times New Roman" w:hAnsi="Times New Roman"/>
        </w:rPr>
        <w:t>Garner</w:t>
      </w:r>
      <w:proofErr w:type="spellEnd"/>
      <w:r w:rsidRPr="002F4033">
        <w:rPr>
          <w:rFonts w:ascii="Times New Roman" w:hAnsi="Times New Roman"/>
        </w:rPr>
        <w:t xml:space="preserve">, Paul, “Reflexiones sobre historia patria y la construcción de la nación mestiza en el México porfiriano: o cómo interpretar las fiestas del Centenario de 1910”, en </w:t>
      </w:r>
      <w:r w:rsidRPr="002F4033">
        <w:rPr>
          <w:rFonts w:ascii="Times New Roman" w:hAnsi="Times New Roman"/>
          <w:i/>
        </w:rPr>
        <w:t>20/10 Memoria de las revoluciones en México</w:t>
      </w:r>
      <w:r w:rsidRPr="002F4033">
        <w:rPr>
          <w:rFonts w:ascii="Times New Roman" w:hAnsi="Times New Roman"/>
        </w:rPr>
        <w:t>, no. 1, junio-agosto de 2008, p. 127-145.</w:t>
      </w:r>
    </w:p>
  </w:footnote>
  <w:footnote w:id="4">
    <w:p w:rsidR="00141DC7" w:rsidRPr="002F4033" w:rsidRDefault="00141DC7" w:rsidP="00141DC7">
      <w:pPr>
        <w:pStyle w:val="Textonotapie"/>
        <w:spacing w:line="240" w:lineRule="auto"/>
        <w:jc w:val="both"/>
        <w:rPr>
          <w:rFonts w:ascii="Times New Roman" w:hAnsi="Times New Roman"/>
        </w:rPr>
      </w:pPr>
      <w:r w:rsidRPr="002F4033">
        <w:rPr>
          <w:rStyle w:val="Refdenotaalpie"/>
          <w:rFonts w:ascii="Times New Roman" w:hAnsi="Times New Roman"/>
        </w:rPr>
        <w:footnoteRef/>
      </w:r>
      <w:r w:rsidRPr="002F4033">
        <w:rPr>
          <w:rFonts w:ascii="Times New Roman" w:hAnsi="Times New Roman"/>
        </w:rPr>
        <w:t xml:space="preserve"> Véase Edmundo </w:t>
      </w:r>
      <w:proofErr w:type="spellStart"/>
      <w:r w:rsidRPr="002F4033">
        <w:rPr>
          <w:rFonts w:ascii="Times New Roman" w:hAnsi="Times New Roman"/>
        </w:rPr>
        <w:t>O’Gorman</w:t>
      </w:r>
      <w:proofErr w:type="spellEnd"/>
      <w:r w:rsidRPr="002F4033">
        <w:rPr>
          <w:rFonts w:ascii="Times New Roman" w:hAnsi="Times New Roman"/>
        </w:rPr>
        <w:t xml:space="preserve">, </w:t>
      </w:r>
      <w:r w:rsidRPr="002F4033">
        <w:rPr>
          <w:rFonts w:ascii="Times New Roman" w:hAnsi="Times New Roman"/>
          <w:i/>
        </w:rPr>
        <w:t>Crisis y porvenir de la ciencia histórica</w:t>
      </w:r>
      <w:r w:rsidRPr="002F4033">
        <w:rPr>
          <w:rFonts w:ascii="Times New Roman" w:hAnsi="Times New Roman"/>
        </w:rPr>
        <w:t xml:space="preserve">, México, Imprenta Universitaria, 1947. </w:t>
      </w:r>
    </w:p>
  </w:footnote>
  <w:footnote w:id="5">
    <w:p w:rsidR="00141DC7" w:rsidRPr="002F4033" w:rsidRDefault="00141DC7" w:rsidP="00141DC7">
      <w:pPr>
        <w:pStyle w:val="Textonotapie"/>
        <w:spacing w:line="240" w:lineRule="auto"/>
        <w:jc w:val="both"/>
        <w:rPr>
          <w:rFonts w:ascii="Times New Roman" w:hAnsi="Times New Roman"/>
        </w:rPr>
      </w:pPr>
      <w:r w:rsidRPr="002F4033">
        <w:rPr>
          <w:rStyle w:val="Refdenotaalpie"/>
          <w:rFonts w:ascii="Times New Roman" w:hAnsi="Times New Roman"/>
        </w:rPr>
        <w:footnoteRef/>
      </w:r>
      <w:r w:rsidRPr="002F4033">
        <w:rPr>
          <w:rFonts w:ascii="Times New Roman" w:hAnsi="Times New Roman"/>
        </w:rPr>
        <w:t xml:space="preserve">  Kuhn, </w:t>
      </w:r>
      <w:proofErr w:type="spellStart"/>
      <w:r w:rsidRPr="002F4033">
        <w:rPr>
          <w:rFonts w:ascii="Times New Roman" w:hAnsi="Times New Roman"/>
          <w:i/>
        </w:rPr>
        <w:t>op</w:t>
      </w:r>
      <w:proofErr w:type="spellEnd"/>
      <w:r w:rsidRPr="002F4033">
        <w:rPr>
          <w:rFonts w:ascii="Times New Roman" w:hAnsi="Times New Roman"/>
        </w:rPr>
        <w:t xml:space="preserve">. </w:t>
      </w:r>
      <w:r w:rsidRPr="002F4033">
        <w:rPr>
          <w:rFonts w:ascii="Times New Roman" w:hAnsi="Times New Roman"/>
          <w:i/>
        </w:rPr>
        <w:t>cit</w:t>
      </w:r>
      <w:r w:rsidRPr="002F4033">
        <w:rPr>
          <w:rFonts w:ascii="Times New Roman" w:hAnsi="Times New Roman"/>
        </w:rPr>
        <w:t>., p. 237.</w:t>
      </w:r>
    </w:p>
  </w:footnote>
  <w:footnote w:id="6">
    <w:p w:rsidR="00141DC7" w:rsidRPr="002F4033" w:rsidRDefault="00141DC7" w:rsidP="00141DC7">
      <w:pPr>
        <w:pStyle w:val="Textonotapie"/>
        <w:spacing w:line="240" w:lineRule="auto"/>
        <w:jc w:val="both"/>
        <w:rPr>
          <w:rFonts w:ascii="Times New Roman" w:hAnsi="Times New Roman"/>
        </w:rPr>
      </w:pPr>
      <w:r w:rsidRPr="002F4033">
        <w:rPr>
          <w:rStyle w:val="Refdenotaalpie"/>
          <w:rFonts w:ascii="Times New Roman" w:hAnsi="Times New Roman"/>
        </w:rPr>
        <w:footnoteRef/>
      </w:r>
      <w:r w:rsidRPr="002F4033">
        <w:rPr>
          <w:rFonts w:ascii="Times New Roman" w:hAnsi="Times New Roman"/>
        </w:rPr>
        <w:t xml:space="preserve"> En las conclusiones de </w:t>
      </w:r>
      <w:r w:rsidRPr="002F4033">
        <w:rPr>
          <w:rFonts w:ascii="Times New Roman" w:hAnsi="Times New Roman"/>
          <w:i/>
        </w:rPr>
        <w:t>El nuevo pasado mexicano</w:t>
      </w:r>
      <w:r w:rsidRPr="002F4033">
        <w:rPr>
          <w:rFonts w:ascii="Times New Roman" w:hAnsi="Times New Roman"/>
        </w:rPr>
        <w:t xml:space="preserve"> (Enrique </w:t>
      </w:r>
      <w:proofErr w:type="spellStart"/>
      <w:r w:rsidRPr="002F4033">
        <w:rPr>
          <w:rFonts w:ascii="Times New Roman" w:hAnsi="Times New Roman"/>
        </w:rPr>
        <w:t>Florescano</w:t>
      </w:r>
      <w:proofErr w:type="spellEnd"/>
      <w:r w:rsidRPr="002F4033">
        <w:rPr>
          <w:rFonts w:ascii="Times New Roman" w:hAnsi="Times New Roman"/>
        </w:rPr>
        <w:t xml:space="preserve">, México, Cal y arena, 1991, p.154-163) puede verse un resumen de estos ejercicios revisionistas.   </w:t>
      </w:r>
    </w:p>
  </w:footnote>
  <w:footnote w:id="7">
    <w:p w:rsidR="00141DC7" w:rsidRPr="002F4033" w:rsidRDefault="00141DC7" w:rsidP="00141DC7">
      <w:pPr>
        <w:pStyle w:val="Textonotapie"/>
        <w:spacing w:line="240" w:lineRule="auto"/>
        <w:jc w:val="both"/>
        <w:rPr>
          <w:rFonts w:ascii="Times New Roman" w:hAnsi="Times New Roman"/>
        </w:rPr>
      </w:pPr>
      <w:r w:rsidRPr="002F4033">
        <w:rPr>
          <w:rStyle w:val="Refdenotaalpie"/>
          <w:rFonts w:ascii="Times New Roman" w:hAnsi="Times New Roman"/>
        </w:rPr>
        <w:footnoteRef/>
      </w:r>
      <w:r w:rsidRPr="002F4033">
        <w:rPr>
          <w:rFonts w:ascii="Times New Roman" w:hAnsi="Times New Roman"/>
        </w:rPr>
        <w:t xml:space="preserve"> Véase Álvaro Matute, “De los episodios nacionales a las telenovelas. Balance de la divulgación histórica”, en </w:t>
      </w:r>
      <w:r w:rsidRPr="002F4033">
        <w:rPr>
          <w:rFonts w:ascii="Times New Roman" w:hAnsi="Times New Roman"/>
          <w:i/>
        </w:rPr>
        <w:t>Quehaceres de la historia</w:t>
      </w:r>
      <w:r w:rsidRPr="002F4033">
        <w:rPr>
          <w:rFonts w:ascii="Times New Roman" w:hAnsi="Times New Roman"/>
        </w:rPr>
        <w:t xml:space="preserve">, México, Centro de Estudios en Historia de México </w:t>
      </w:r>
      <w:proofErr w:type="spellStart"/>
      <w:r w:rsidRPr="002F4033">
        <w:rPr>
          <w:rFonts w:ascii="Times New Roman" w:hAnsi="Times New Roman"/>
        </w:rPr>
        <w:t>Condumex</w:t>
      </w:r>
      <w:proofErr w:type="spellEnd"/>
      <w:r w:rsidRPr="002F4033">
        <w:rPr>
          <w:rFonts w:ascii="Times New Roman" w:hAnsi="Times New Roman"/>
        </w:rPr>
        <w:t>, 2001, p. 277-295.</w:t>
      </w:r>
    </w:p>
  </w:footnote>
  <w:footnote w:id="8">
    <w:p w:rsidR="00141DC7" w:rsidRPr="002F4033" w:rsidRDefault="00141DC7" w:rsidP="00141DC7">
      <w:pPr>
        <w:pStyle w:val="Textonotapie"/>
        <w:spacing w:line="240" w:lineRule="auto"/>
        <w:jc w:val="both"/>
        <w:rPr>
          <w:rFonts w:ascii="Times New Roman" w:hAnsi="Times New Roman"/>
        </w:rPr>
      </w:pPr>
      <w:r w:rsidRPr="002F4033">
        <w:rPr>
          <w:rStyle w:val="Refdenotaalpie"/>
          <w:rFonts w:ascii="Times New Roman" w:hAnsi="Times New Roman"/>
        </w:rPr>
        <w:footnoteRef/>
      </w:r>
      <w:r w:rsidRPr="002F4033">
        <w:rPr>
          <w:rFonts w:ascii="Times New Roman" w:hAnsi="Times New Roman"/>
        </w:rPr>
        <w:t xml:space="preserve"> Kuhn, </w:t>
      </w:r>
      <w:proofErr w:type="spellStart"/>
      <w:r w:rsidRPr="002F4033">
        <w:rPr>
          <w:rFonts w:ascii="Times New Roman" w:hAnsi="Times New Roman"/>
          <w:i/>
        </w:rPr>
        <w:t>op</w:t>
      </w:r>
      <w:proofErr w:type="spellEnd"/>
      <w:r w:rsidRPr="002F4033">
        <w:rPr>
          <w:rFonts w:ascii="Times New Roman" w:hAnsi="Times New Roman"/>
        </w:rPr>
        <w:t xml:space="preserve">. </w:t>
      </w:r>
      <w:r w:rsidRPr="002F4033">
        <w:rPr>
          <w:rFonts w:ascii="Times New Roman" w:hAnsi="Times New Roman"/>
          <w:i/>
        </w:rPr>
        <w:t>cit</w:t>
      </w:r>
      <w:r w:rsidRPr="002F4033">
        <w:rPr>
          <w:rFonts w:ascii="Times New Roman" w:hAnsi="Times New Roman"/>
        </w:rPr>
        <w:t>., p. 155.</w:t>
      </w:r>
    </w:p>
  </w:footnote>
  <w:footnote w:id="9">
    <w:p w:rsidR="00141DC7" w:rsidRPr="002F4033" w:rsidRDefault="00141DC7" w:rsidP="00141DC7">
      <w:pPr>
        <w:pStyle w:val="Textonotapie"/>
        <w:spacing w:line="240" w:lineRule="auto"/>
        <w:jc w:val="both"/>
        <w:rPr>
          <w:rFonts w:ascii="Times New Roman" w:hAnsi="Times New Roman"/>
        </w:rPr>
      </w:pPr>
      <w:r w:rsidRPr="002F4033">
        <w:rPr>
          <w:rStyle w:val="Refdenotaalpie"/>
          <w:rFonts w:ascii="Times New Roman" w:hAnsi="Times New Roman"/>
        </w:rPr>
        <w:footnoteRef/>
      </w:r>
      <w:r w:rsidRPr="002F4033">
        <w:rPr>
          <w:rFonts w:ascii="Times New Roman" w:hAnsi="Times New Roman"/>
        </w:rPr>
        <w:t xml:space="preserve">  Véase José Antonio Crespo, </w:t>
      </w:r>
      <w:r w:rsidRPr="002F4033">
        <w:rPr>
          <w:rFonts w:ascii="Times New Roman" w:hAnsi="Times New Roman"/>
          <w:i/>
        </w:rPr>
        <w:t>Contra la historia oficial</w:t>
      </w:r>
      <w:r w:rsidRPr="002F4033">
        <w:rPr>
          <w:rFonts w:ascii="Times New Roman" w:hAnsi="Times New Roman"/>
        </w:rPr>
        <w:t>, México, Debate, 2009, particularmente la introducción “Crítica de la historia oficial”, p. 11-24.</w:t>
      </w:r>
    </w:p>
  </w:footnote>
  <w:footnote w:id="10">
    <w:p w:rsidR="002F4033" w:rsidRPr="002F4033" w:rsidRDefault="002F4033">
      <w:pPr>
        <w:pStyle w:val="Textonotapie"/>
        <w:rPr>
          <w:rFonts w:ascii="Times New Roman" w:hAnsi="Times New Roman"/>
        </w:rPr>
      </w:pPr>
      <w:r w:rsidRPr="002F4033">
        <w:rPr>
          <w:rStyle w:val="Refdenotaalpie"/>
          <w:rFonts w:ascii="Times New Roman" w:hAnsi="Times New Roman"/>
        </w:rPr>
        <w:footnoteRef/>
      </w:r>
      <w:r w:rsidRPr="002F4033">
        <w:rPr>
          <w:rFonts w:ascii="Times New Roman" w:hAnsi="Times New Roman"/>
        </w:rPr>
        <w:t xml:space="preserve"> </w:t>
      </w:r>
      <w:r w:rsidRPr="002F4033">
        <w:rPr>
          <w:rFonts w:ascii="Times New Roman" w:hAnsi="Times New Roman"/>
        </w:rPr>
        <w:t xml:space="preserve">Marshall </w:t>
      </w:r>
      <w:proofErr w:type="spellStart"/>
      <w:r w:rsidRPr="002F4033">
        <w:rPr>
          <w:rFonts w:ascii="Times New Roman" w:hAnsi="Times New Roman"/>
        </w:rPr>
        <w:t>McLuhan</w:t>
      </w:r>
      <w:proofErr w:type="spellEnd"/>
      <w:r w:rsidRPr="002F4033">
        <w:rPr>
          <w:rFonts w:ascii="Times New Roman" w:hAnsi="Times New Roman"/>
        </w:rPr>
        <w:t xml:space="preserve">, </w:t>
      </w:r>
      <w:r w:rsidRPr="002F4033">
        <w:rPr>
          <w:rFonts w:ascii="Times New Roman" w:hAnsi="Times New Roman"/>
          <w:i/>
        </w:rPr>
        <w:t>El medio es el masaje</w:t>
      </w:r>
      <w:r w:rsidRPr="002F4033">
        <w:rPr>
          <w:rFonts w:ascii="Times New Roman" w:hAnsi="Times New Roman"/>
        </w:rPr>
        <w:t>, Barcelona, Paidós, 1988, p. 123.</w:t>
      </w:r>
    </w:p>
  </w:footnote>
  <w:footnote w:id="11">
    <w:p w:rsidR="00141DC7" w:rsidRPr="002F4033" w:rsidRDefault="00141DC7" w:rsidP="00141DC7">
      <w:pPr>
        <w:pStyle w:val="Textonotapie"/>
        <w:spacing w:line="240" w:lineRule="auto"/>
        <w:jc w:val="both"/>
        <w:rPr>
          <w:rFonts w:ascii="Times New Roman" w:hAnsi="Times New Roman"/>
        </w:rPr>
      </w:pPr>
      <w:r w:rsidRPr="002F4033">
        <w:rPr>
          <w:rStyle w:val="Refdenotaalpie"/>
          <w:rFonts w:ascii="Times New Roman" w:hAnsi="Times New Roman"/>
        </w:rPr>
        <w:footnoteRef/>
      </w:r>
      <w:r w:rsidRPr="002F4033">
        <w:rPr>
          <w:rFonts w:ascii="Times New Roman" w:hAnsi="Times New Roman"/>
        </w:rPr>
        <w:t xml:space="preserve"> Para acercarse a este mundo virtual visítese la página bicentenario.gob.mx.  </w:t>
      </w:r>
    </w:p>
  </w:footnote>
  <w:footnote w:id="12">
    <w:p w:rsidR="00141DC7" w:rsidRPr="002F4033" w:rsidRDefault="00141DC7" w:rsidP="00141DC7">
      <w:pPr>
        <w:pStyle w:val="Textonotapie"/>
        <w:spacing w:line="240" w:lineRule="auto"/>
        <w:jc w:val="both"/>
        <w:rPr>
          <w:rFonts w:ascii="Times New Roman" w:hAnsi="Times New Roman"/>
        </w:rPr>
      </w:pPr>
      <w:r w:rsidRPr="002F4033">
        <w:rPr>
          <w:rStyle w:val="Refdenotaalpie"/>
          <w:rFonts w:ascii="Times New Roman" w:hAnsi="Times New Roman"/>
        </w:rPr>
        <w:footnoteRef/>
      </w:r>
      <w:r w:rsidRPr="002F4033">
        <w:rPr>
          <w:rFonts w:ascii="Times New Roman" w:hAnsi="Times New Roman"/>
        </w:rPr>
        <w:t xml:space="preserve"> Como ejemplos pueden consultarse las páginas bibliotecas.tv, memoriapoliticademexico.org o paperofrecord.com.</w:t>
      </w:r>
    </w:p>
  </w:footnote>
  <w:footnote w:id="13">
    <w:p w:rsidR="00141DC7" w:rsidRPr="002F4033" w:rsidRDefault="00141DC7" w:rsidP="00141DC7">
      <w:pPr>
        <w:pStyle w:val="Textonotapie"/>
        <w:spacing w:line="240" w:lineRule="auto"/>
        <w:jc w:val="both"/>
        <w:rPr>
          <w:rFonts w:ascii="Times New Roman" w:hAnsi="Times New Roman"/>
          <w:lang w:val="en-US"/>
        </w:rPr>
      </w:pPr>
      <w:r w:rsidRPr="002F4033">
        <w:rPr>
          <w:rStyle w:val="Refdenotaalpie"/>
          <w:rFonts w:ascii="Times New Roman" w:hAnsi="Times New Roman"/>
        </w:rPr>
        <w:footnoteRef/>
      </w:r>
      <w:r w:rsidRPr="002F4033">
        <w:rPr>
          <w:rFonts w:ascii="Times New Roman" w:hAnsi="Times New Roman"/>
          <w:lang w:val="en-US"/>
        </w:rPr>
        <w:t xml:space="preserve"> Kuhn, </w:t>
      </w:r>
      <w:r w:rsidRPr="002F4033">
        <w:rPr>
          <w:rFonts w:ascii="Times New Roman" w:hAnsi="Times New Roman"/>
          <w:i/>
          <w:lang w:val="en-US"/>
        </w:rPr>
        <w:t>op</w:t>
      </w:r>
      <w:r w:rsidRPr="002F4033">
        <w:rPr>
          <w:rFonts w:ascii="Times New Roman" w:hAnsi="Times New Roman"/>
          <w:lang w:val="en-US"/>
        </w:rPr>
        <w:t xml:space="preserve">. </w:t>
      </w:r>
      <w:r w:rsidRPr="002F4033">
        <w:rPr>
          <w:rFonts w:ascii="Times New Roman" w:hAnsi="Times New Roman"/>
          <w:i/>
          <w:lang w:val="en-US"/>
        </w:rPr>
        <w:t>cit</w:t>
      </w:r>
      <w:r w:rsidRPr="002F4033">
        <w:rPr>
          <w:rFonts w:ascii="Times New Roman" w:hAnsi="Times New Roman"/>
          <w:lang w:val="en-US"/>
        </w:rPr>
        <w:t>., p. 146.</w:t>
      </w:r>
    </w:p>
  </w:footnote>
  <w:footnote w:id="14">
    <w:p w:rsidR="00141DC7" w:rsidRPr="00136FB5" w:rsidRDefault="00141DC7" w:rsidP="00141DC7">
      <w:pPr>
        <w:pStyle w:val="Textonotapie"/>
        <w:rPr>
          <w:rFonts w:ascii="Times New Roman" w:hAnsi="Times New Roman"/>
          <w:lang w:val="en-US"/>
        </w:rPr>
      </w:pPr>
      <w:r w:rsidRPr="002F4033">
        <w:rPr>
          <w:rStyle w:val="Refdenotaalpie"/>
          <w:rFonts w:ascii="Times New Roman" w:hAnsi="Times New Roman"/>
        </w:rPr>
        <w:footnoteRef/>
      </w:r>
      <w:r w:rsidRPr="002F4033">
        <w:rPr>
          <w:rFonts w:ascii="Times New Roman" w:hAnsi="Times New Roman"/>
          <w:lang w:val="en-US"/>
        </w:rPr>
        <w:t xml:space="preserve"> </w:t>
      </w:r>
      <w:proofErr w:type="spellStart"/>
      <w:proofErr w:type="gramStart"/>
      <w:r w:rsidRPr="002F4033">
        <w:rPr>
          <w:rFonts w:ascii="Times New Roman" w:hAnsi="Times New Roman"/>
          <w:i/>
          <w:lang w:val="en-US"/>
        </w:rPr>
        <w:t>Ibidem</w:t>
      </w:r>
      <w:proofErr w:type="spellEnd"/>
      <w:r w:rsidRPr="002F4033">
        <w:rPr>
          <w:rFonts w:ascii="Times New Roman" w:hAnsi="Times New Roman"/>
          <w:lang w:val="en-US"/>
        </w:rPr>
        <w:t>,</w:t>
      </w:r>
      <w:r w:rsidRPr="00136FB5">
        <w:rPr>
          <w:rFonts w:ascii="Times New Roman" w:hAnsi="Times New Roman"/>
          <w:lang w:val="en-US"/>
        </w:rPr>
        <w:t xml:space="preserve"> p. 260.</w:t>
      </w:r>
      <w:proofErr w:type="gramEnd"/>
    </w:p>
  </w:footnote>
  <w:footnote w:id="15">
    <w:p w:rsidR="00136FB5" w:rsidRPr="00136FB5" w:rsidRDefault="00136FB5">
      <w:pPr>
        <w:pStyle w:val="Textonotapie"/>
        <w:rPr>
          <w:rFonts w:ascii="Times New Roman" w:hAnsi="Times New Roman"/>
        </w:rPr>
      </w:pPr>
      <w:r w:rsidRPr="00136FB5">
        <w:rPr>
          <w:rStyle w:val="Refdenotaalpie"/>
          <w:rFonts w:ascii="Times New Roman" w:hAnsi="Times New Roman"/>
        </w:rPr>
        <w:footnoteRef/>
      </w:r>
      <w:r w:rsidRPr="00136FB5">
        <w:rPr>
          <w:rFonts w:ascii="Times New Roman" w:hAnsi="Times New Roman"/>
        </w:rPr>
        <w:t xml:space="preserve"> </w:t>
      </w:r>
      <w:proofErr w:type="spellStart"/>
      <w:r w:rsidRPr="00136FB5">
        <w:rPr>
          <w:rFonts w:ascii="Times New Roman" w:hAnsi="Times New Roman"/>
        </w:rPr>
        <w:t>McLuhan</w:t>
      </w:r>
      <w:proofErr w:type="spellEnd"/>
      <w:r w:rsidRPr="00136FB5">
        <w:rPr>
          <w:rFonts w:ascii="Times New Roman" w:hAnsi="Times New Roman"/>
        </w:rPr>
        <w:t xml:space="preserve">, </w:t>
      </w:r>
      <w:proofErr w:type="spellStart"/>
      <w:r w:rsidRPr="00136FB5">
        <w:rPr>
          <w:rFonts w:ascii="Times New Roman" w:hAnsi="Times New Roman"/>
          <w:i/>
        </w:rPr>
        <w:t>op.cit</w:t>
      </w:r>
      <w:proofErr w:type="spellEnd"/>
      <w:r w:rsidRPr="00136FB5">
        <w:rPr>
          <w:rFonts w:ascii="Times New Roman" w:hAnsi="Times New Roman"/>
        </w:rPr>
        <w:t xml:space="preserve">., p. 92. </w:t>
      </w:r>
    </w:p>
  </w:footnote>
  <w:footnote w:id="16">
    <w:p w:rsidR="00136FB5" w:rsidRPr="00136FB5" w:rsidRDefault="00136FB5">
      <w:pPr>
        <w:pStyle w:val="Textonotapie"/>
        <w:rPr>
          <w:rFonts w:ascii="Times New Roman" w:hAnsi="Times New Roman"/>
        </w:rPr>
      </w:pPr>
      <w:r w:rsidRPr="00136FB5">
        <w:rPr>
          <w:rStyle w:val="Refdenotaalpie"/>
          <w:rFonts w:ascii="Times New Roman" w:hAnsi="Times New Roman"/>
        </w:rPr>
        <w:footnoteRef/>
      </w:r>
      <w:r w:rsidRPr="00136FB5">
        <w:rPr>
          <w:rFonts w:ascii="Times New Roman" w:hAnsi="Times New Roman"/>
        </w:rPr>
        <w:t xml:space="preserve"> </w:t>
      </w:r>
      <w:proofErr w:type="spellStart"/>
      <w:r w:rsidRPr="00136FB5">
        <w:rPr>
          <w:rFonts w:ascii="Times New Roman" w:hAnsi="Times New Roman"/>
        </w:rPr>
        <w:t>McLuhan</w:t>
      </w:r>
      <w:proofErr w:type="spellEnd"/>
      <w:r w:rsidRPr="00136FB5">
        <w:rPr>
          <w:rFonts w:ascii="Times New Roman" w:hAnsi="Times New Roman"/>
        </w:rPr>
        <w:t xml:space="preserve">, </w:t>
      </w:r>
      <w:proofErr w:type="spellStart"/>
      <w:r w:rsidRPr="00136FB5">
        <w:rPr>
          <w:rFonts w:ascii="Times New Roman" w:hAnsi="Times New Roman"/>
          <w:i/>
        </w:rPr>
        <w:t>op.cit</w:t>
      </w:r>
      <w:proofErr w:type="spellEnd"/>
      <w:r w:rsidRPr="00136FB5">
        <w:rPr>
          <w:rFonts w:ascii="Times New Roman" w:hAnsi="Times New Roman"/>
        </w:rPr>
        <w:t>., p. 5.</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1DC7"/>
    <w:rsid w:val="00136FB5"/>
    <w:rsid w:val="00141DC7"/>
    <w:rsid w:val="001468BA"/>
    <w:rsid w:val="00271A6F"/>
    <w:rsid w:val="002F4033"/>
    <w:rsid w:val="0053529E"/>
    <w:rsid w:val="0086419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1DC7"/>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141DC7"/>
    <w:rPr>
      <w:sz w:val="20"/>
      <w:szCs w:val="20"/>
    </w:rPr>
  </w:style>
  <w:style w:type="character" w:customStyle="1" w:styleId="TextonotapieCar">
    <w:name w:val="Texto nota pie Car"/>
    <w:basedOn w:val="Fuentedeprrafopredeter"/>
    <w:link w:val="Textonotapie"/>
    <w:uiPriority w:val="99"/>
    <w:semiHidden/>
    <w:rsid w:val="00141DC7"/>
    <w:rPr>
      <w:rFonts w:ascii="Calibri" w:eastAsia="Calibri" w:hAnsi="Calibri" w:cs="Times New Roman"/>
      <w:sz w:val="20"/>
      <w:szCs w:val="20"/>
    </w:rPr>
  </w:style>
  <w:style w:type="character" w:styleId="Refdenotaalpie">
    <w:name w:val="footnote reference"/>
    <w:uiPriority w:val="99"/>
    <w:semiHidden/>
    <w:unhideWhenUsed/>
    <w:rsid w:val="00141DC7"/>
    <w:rPr>
      <w:vertAlign w:val="superscript"/>
    </w:rPr>
  </w:style>
  <w:style w:type="paragraph" w:styleId="Textonotaalfinal">
    <w:name w:val="endnote text"/>
    <w:basedOn w:val="Normal"/>
    <w:link w:val="TextonotaalfinalCar"/>
    <w:uiPriority w:val="99"/>
    <w:semiHidden/>
    <w:unhideWhenUsed/>
    <w:rsid w:val="002F4033"/>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2F4033"/>
    <w:rPr>
      <w:rFonts w:ascii="Calibri" w:eastAsia="Calibri" w:hAnsi="Calibri" w:cs="Times New Roman"/>
      <w:sz w:val="20"/>
      <w:szCs w:val="20"/>
    </w:rPr>
  </w:style>
  <w:style w:type="character" w:styleId="Refdenotaalfinal">
    <w:name w:val="endnote reference"/>
    <w:basedOn w:val="Fuentedeprrafopredeter"/>
    <w:uiPriority w:val="99"/>
    <w:semiHidden/>
    <w:unhideWhenUsed/>
    <w:rsid w:val="002F4033"/>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1DC7"/>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141DC7"/>
    <w:rPr>
      <w:sz w:val="20"/>
      <w:szCs w:val="20"/>
    </w:rPr>
  </w:style>
  <w:style w:type="character" w:customStyle="1" w:styleId="TextonotapieCar">
    <w:name w:val="Texto nota pie Car"/>
    <w:basedOn w:val="Fuentedeprrafopredeter"/>
    <w:link w:val="Textonotapie"/>
    <w:uiPriority w:val="99"/>
    <w:semiHidden/>
    <w:rsid w:val="00141DC7"/>
    <w:rPr>
      <w:rFonts w:ascii="Calibri" w:eastAsia="Calibri" w:hAnsi="Calibri" w:cs="Times New Roman"/>
      <w:sz w:val="20"/>
      <w:szCs w:val="20"/>
    </w:rPr>
  </w:style>
  <w:style w:type="character" w:styleId="Refdenotaalpie">
    <w:name w:val="footnote reference"/>
    <w:uiPriority w:val="99"/>
    <w:semiHidden/>
    <w:unhideWhenUsed/>
    <w:rsid w:val="00141DC7"/>
    <w:rPr>
      <w:vertAlign w:val="superscript"/>
    </w:rPr>
  </w:style>
  <w:style w:type="paragraph" w:styleId="Textonotaalfinal">
    <w:name w:val="endnote text"/>
    <w:basedOn w:val="Normal"/>
    <w:link w:val="TextonotaalfinalCar"/>
    <w:uiPriority w:val="99"/>
    <w:semiHidden/>
    <w:unhideWhenUsed/>
    <w:rsid w:val="002F4033"/>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2F4033"/>
    <w:rPr>
      <w:rFonts w:ascii="Calibri" w:eastAsia="Calibri" w:hAnsi="Calibri" w:cs="Times New Roman"/>
      <w:sz w:val="20"/>
      <w:szCs w:val="20"/>
    </w:rPr>
  </w:style>
  <w:style w:type="character" w:styleId="Refdenotaalfinal">
    <w:name w:val="endnote reference"/>
    <w:basedOn w:val="Fuentedeprrafopredeter"/>
    <w:uiPriority w:val="99"/>
    <w:semiHidden/>
    <w:unhideWhenUsed/>
    <w:rsid w:val="002F403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52636D-8DDC-48CC-ABE2-B39C78A870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8</Pages>
  <Words>2055</Words>
  <Characters>11303</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13332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DIFUSION CULTURAL</dc:creator>
  <cp:lastModifiedBy>DIFUSION CULTURAL</cp:lastModifiedBy>
  <cp:revision>3</cp:revision>
  <dcterms:created xsi:type="dcterms:W3CDTF">2011-09-12T16:53:00Z</dcterms:created>
  <dcterms:modified xsi:type="dcterms:W3CDTF">2011-09-12T17:31:00Z</dcterms:modified>
</cp:coreProperties>
</file>