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E9AFFF" w14:textId="11752AB5" w:rsidR="000F7279" w:rsidRPr="00784B69" w:rsidRDefault="00B13F01" w:rsidP="00B13F01">
      <w:pPr>
        <w:spacing w:after="0"/>
        <w:jc w:val="center"/>
        <w:rPr>
          <w:rFonts w:ascii="Times New Roman" w:hAnsi="Times New Roman" w:cs="Times New Roman"/>
          <w:b/>
          <w:sz w:val="24"/>
          <w:szCs w:val="24"/>
        </w:rPr>
      </w:pPr>
      <w:bookmarkStart w:id="0" w:name="_GoBack"/>
      <w:bookmarkEnd w:id="0"/>
      <w:r w:rsidRPr="00784B69">
        <w:rPr>
          <w:rFonts w:ascii="Times New Roman" w:hAnsi="Times New Roman" w:cs="Times New Roman"/>
          <w:b/>
          <w:sz w:val="24"/>
          <w:szCs w:val="24"/>
        </w:rPr>
        <w:t>Revisión del sistema de precios t</w:t>
      </w:r>
      <w:r w:rsidR="000F7279" w:rsidRPr="00784B69">
        <w:rPr>
          <w:rFonts w:ascii="Times New Roman" w:hAnsi="Times New Roman" w:cs="Times New Roman"/>
          <w:b/>
          <w:sz w:val="24"/>
          <w:szCs w:val="24"/>
        </w:rPr>
        <w:t>ope de T</w:t>
      </w:r>
      <w:r w:rsidRPr="00784B69">
        <w:rPr>
          <w:rFonts w:ascii="Times New Roman" w:hAnsi="Times New Roman" w:cs="Times New Roman"/>
          <w:b/>
          <w:sz w:val="24"/>
          <w:szCs w:val="24"/>
        </w:rPr>
        <w:t>elmex</w:t>
      </w:r>
      <w:r w:rsidR="00086AF2" w:rsidRPr="00784B69">
        <w:rPr>
          <w:rFonts w:ascii="Times New Roman" w:hAnsi="Times New Roman" w:cs="Times New Roman"/>
          <w:b/>
          <w:sz w:val="24"/>
          <w:szCs w:val="24"/>
        </w:rPr>
        <w:t xml:space="preserve"> 2010-2013</w:t>
      </w:r>
    </w:p>
    <w:p w14:paraId="13DE5846" w14:textId="77777777" w:rsidR="008B6CD5" w:rsidRPr="00784B69" w:rsidRDefault="008B6CD5" w:rsidP="000F7279">
      <w:pPr>
        <w:jc w:val="center"/>
        <w:rPr>
          <w:rFonts w:ascii="Times New Roman" w:hAnsi="Times New Roman" w:cs="Times New Roman"/>
          <w:b/>
          <w:sz w:val="24"/>
          <w:szCs w:val="24"/>
        </w:rPr>
      </w:pPr>
    </w:p>
    <w:p w14:paraId="0F11A594" w14:textId="77777777" w:rsidR="000F7279" w:rsidRPr="00784B69" w:rsidRDefault="000F7279" w:rsidP="000F7279">
      <w:pPr>
        <w:jc w:val="center"/>
        <w:rPr>
          <w:rFonts w:ascii="Times New Roman" w:hAnsi="Times New Roman" w:cs="Times New Roman"/>
          <w:b/>
          <w:sz w:val="24"/>
          <w:szCs w:val="24"/>
        </w:rPr>
      </w:pPr>
      <w:r w:rsidRPr="00784B69">
        <w:rPr>
          <w:rFonts w:ascii="Times New Roman" w:hAnsi="Times New Roman" w:cs="Times New Roman"/>
          <w:b/>
          <w:sz w:val="24"/>
          <w:szCs w:val="24"/>
        </w:rPr>
        <w:t>Fernando Butler Silva</w:t>
      </w:r>
    </w:p>
    <w:p w14:paraId="3309CD5F" w14:textId="77777777" w:rsidR="000F7279" w:rsidRPr="00784B69" w:rsidRDefault="000F7279" w:rsidP="000F7279">
      <w:pPr>
        <w:jc w:val="center"/>
        <w:rPr>
          <w:rFonts w:ascii="Times New Roman" w:hAnsi="Times New Roman" w:cs="Times New Roman"/>
          <w:b/>
          <w:sz w:val="24"/>
          <w:szCs w:val="24"/>
        </w:rPr>
      </w:pPr>
    </w:p>
    <w:p w14:paraId="2FEAA439" w14:textId="68410FF6" w:rsidR="00AA2859" w:rsidRPr="00784B69" w:rsidRDefault="004E3788" w:rsidP="00AA2859">
      <w:pPr>
        <w:pStyle w:val="Prrafodelista"/>
        <w:numPr>
          <w:ilvl w:val="0"/>
          <w:numId w:val="7"/>
        </w:numPr>
        <w:jc w:val="both"/>
        <w:rPr>
          <w:rFonts w:ascii="Times New Roman" w:hAnsi="Times New Roman" w:cs="Times New Roman"/>
          <w:b/>
          <w:sz w:val="24"/>
          <w:szCs w:val="24"/>
        </w:rPr>
      </w:pPr>
      <w:r w:rsidRPr="00784B69">
        <w:rPr>
          <w:rFonts w:ascii="Times New Roman" w:hAnsi="Times New Roman" w:cs="Times New Roman"/>
          <w:b/>
          <w:sz w:val="24"/>
          <w:szCs w:val="24"/>
        </w:rPr>
        <w:t>Determinar el</w:t>
      </w:r>
      <w:r w:rsidR="00AA2859" w:rsidRPr="00784B69">
        <w:rPr>
          <w:rFonts w:ascii="Times New Roman" w:hAnsi="Times New Roman" w:cs="Times New Roman"/>
          <w:b/>
          <w:sz w:val="24"/>
          <w:szCs w:val="24"/>
        </w:rPr>
        <w:t xml:space="preserve"> </w:t>
      </w:r>
      <w:r w:rsidRPr="00784B69">
        <w:rPr>
          <w:rFonts w:ascii="Times New Roman" w:hAnsi="Times New Roman" w:cs="Times New Roman"/>
          <w:b/>
          <w:sz w:val="24"/>
          <w:szCs w:val="24"/>
        </w:rPr>
        <w:t xml:space="preserve">actual </w:t>
      </w:r>
      <w:r w:rsidR="00AA2859" w:rsidRPr="00784B69">
        <w:rPr>
          <w:rFonts w:ascii="Times New Roman" w:hAnsi="Times New Roman" w:cs="Times New Roman"/>
          <w:b/>
          <w:sz w:val="24"/>
          <w:szCs w:val="24"/>
        </w:rPr>
        <w:t>precio tope de Telmex es más complejo por la evolución tecnológica y los cambios en la industria de las telecomunicaciones en México</w:t>
      </w:r>
    </w:p>
    <w:p w14:paraId="38984A80" w14:textId="4AED1F9B" w:rsidR="00AA2859" w:rsidRPr="00784B69" w:rsidRDefault="00AA2859" w:rsidP="00AA2859">
      <w:pPr>
        <w:pStyle w:val="Prrafodelista"/>
        <w:numPr>
          <w:ilvl w:val="0"/>
          <w:numId w:val="7"/>
        </w:numPr>
        <w:jc w:val="both"/>
        <w:rPr>
          <w:rFonts w:ascii="Times New Roman" w:hAnsi="Times New Roman" w:cs="Times New Roman"/>
          <w:b/>
          <w:sz w:val="24"/>
          <w:szCs w:val="24"/>
        </w:rPr>
      </w:pPr>
      <w:r w:rsidRPr="00784B69">
        <w:rPr>
          <w:rFonts w:ascii="Times New Roman" w:hAnsi="Times New Roman" w:cs="Times New Roman"/>
          <w:b/>
          <w:sz w:val="24"/>
          <w:szCs w:val="24"/>
        </w:rPr>
        <w:t>El modelo de precios tope de Telmex fue diseñado para un monopolio y no para una empresa competitiva</w:t>
      </w:r>
    </w:p>
    <w:p w14:paraId="2DEF0D52" w14:textId="77777777" w:rsidR="00D7038F" w:rsidRPr="00784B69" w:rsidRDefault="00D7038F" w:rsidP="00D7038F">
      <w:pPr>
        <w:pStyle w:val="Prrafodelista"/>
        <w:numPr>
          <w:ilvl w:val="0"/>
          <w:numId w:val="7"/>
        </w:numPr>
        <w:jc w:val="both"/>
        <w:rPr>
          <w:rFonts w:ascii="Times New Roman" w:hAnsi="Times New Roman" w:cs="Times New Roman"/>
          <w:b/>
          <w:sz w:val="24"/>
          <w:szCs w:val="24"/>
        </w:rPr>
      </w:pPr>
      <w:r w:rsidRPr="00784B69">
        <w:rPr>
          <w:rFonts w:ascii="Times New Roman" w:hAnsi="Times New Roman" w:cs="Times New Roman"/>
          <w:b/>
          <w:sz w:val="24"/>
          <w:szCs w:val="24"/>
        </w:rPr>
        <w:t xml:space="preserve">La </w:t>
      </w:r>
      <w:r w:rsidR="00AA2859" w:rsidRPr="00784B69">
        <w:rPr>
          <w:rFonts w:ascii="Times New Roman" w:hAnsi="Times New Roman" w:cs="Times New Roman"/>
          <w:b/>
          <w:sz w:val="24"/>
          <w:szCs w:val="24"/>
        </w:rPr>
        <w:t>incertidumbre económica y tecnológica</w:t>
      </w:r>
      <w:r w:rsidRPr="00784B69">
        <w:rPr>
          <w:rFonts w:ascii="Times New Roman" w:hAnsi="Times New Roman" w:cs="Times New Roman"/>
          <w:b/>
          <w:sz w:val="24"/>
          <w:szCs w:val="24"/>
        </w:rPr>
        <w:t xml:space="preserve"> hacen difícil que la Cofetel reduzca sustancialmente los niveles de rentabilidad de Telmex</w:t>
      </w:r>
    </w:p>
    <w:p w14:paraId="2BC75123" w14:textId="2779D126" w:rsidR="00D7038F" w:rsidRPr="00784B69" w:rsidRDefault="00D7038F" w:rsidP="00D7038F">
      <w:pPr>
        <w:pStyle w:val="Prrafodelista"/>
        <w:numPr>
          <w:ilvl w:val="0"/>
          <w:numId w:val="7"/>
        </w:numPr>
        <w:jc w:val="both"/>
        <w:rPr>
          <w:rFonts w:ascii="Times New Roman" w:hAnsi="Times New Roman" w:cs="Times New Roman"/>
          <w:b/>
          <w:sz w:val="24"/>
          <w:szCs w:val="24"/>
        </w:rPr>
      </w:pPr>
      <w:r w:rsidRPr="00784B69">
        <w:rPr>
          <w:rFonts w:ascii="Times New Roman" w:hAnsi="Times New Roman" w:cs="Times New Roman"/>
          <w:b/>
          <w:sz w:val="24"/>
          <w:szCs w:val="24"/>
        </w:rPr>
        <w:t>La rápida evolución tecnológica hace impráctico un solo modelo de costos y crea una visión distorsionada de la situación económica de la empresa</w:t>
      </w:r>
    </w:p>
    <w:p w14:paraId="0BF79AAB" w14:textId="2BD0AE96" w:rsidR="00AA2859" w:rsidRPr="00784B69" w:rsidRDefault="00D7038F" w:rsidP="004E3788">
      <w:pPr>
        <w:pStyle w:val="Prrafodelista"/>
        <w:numPr>
          <w:ilvl w:val="0"/>
          <w:numId w:val="7"/>
        </w:numPr>
        <w:jc w:val="both"/>
        <w:rPr>
          <w:rFonts w:ascii="Times New Roman" w:hAnsi="Times New Roman" w:cs="Times New Roman"/>
          <w:b/>
          <w:sz w:val="24"/>
          <w:szCs w:val="24"/>
        </w:rPr>
      </w:pPr>
      <w:r w:rsidRPr="00784B69">
        <w:rPr>
          <w:rFonts w:ascii="Times New Roman" w:hAnsi="Times New Roman" w:cs="Times New Roman"/>
          <w:b/>
          <w:sz w:val="24"/>
          <w:szCs w:val="24"/>
        </w:rPr>
        <w:t>Cofetel no debe considerar los ingresos asociados a la modalidad “El que llama paga”</w:t>
      </w:r>
    </w:p>
    <w:p w14:paraId="34F546F2" w14:textId="77777777" w:rsidR="00AA2859" w:rsidRPr="00784B69" w:rsidRDefault="00AA2859" w:rsidP="000F7279">
      <w:pPr>
        <w:jc w:val="center"/>
        <w:rPr>
          <w:rFonts w:ascii="Times New Roman" w:hAnsi="Times New Roman" w:cs="Times New Roman"/>
          <w:b/>
          <w:sz w:val="24"/>
          <w:szCs w:val="24"/>
        </w:rPr>
      </w:pPr>
    </w:p>
    <w:p w14:paraId="3D10C967" w14:textId="77777777" w:rsidR="00B13F01" w:rsidRPr="00784B69" w:rsidRDefault="00000979" w:rsidP="004067EC">
      <w:pPr>
        <w:jc w:val="both"/>
        <w:rPr>
          <w:rFonts w:ascii="Times New Roman" w:hAnsi="Times New Roman" w:cs="Times New Roman"/>
          <w:sz w:val="24"/>
          <w:szCs w:val="24"/>
        </w:rPr>
      </w:pPr>
      <w:r w:rsidRPr="00784B69">
        <w:rPr>
          <w:rFonts w:ascii="Times New Roman" w:hAnsi="Times New Roman" w:cs="Times New Roman"/>
          <w:sz w:val="24"/>
          <w:szCs w:val="24"/>
        </w:rPr>
        <w:t>El pasado 1</w:t>
      </w:r>
      <w:r w:rsidR="00B13F01" w:rsidRPr="00784B69">
        <w:rPr>
          <w:rFonts w:ascii="Times New Roman" w:hAnsi="Times New Roman" w:cs="Times New Roman"/>
          <w:sz w:val="24"/>
          <w:szCs w:val="24"/>
        </w:rPr>
        <w:t>º</w:t>
      </w:r>
      <w:r w:rsidR="004067EC" w:rsidRPr="00784B69">
        <w:rPr>
          <w:rFonts w:ascii="Times New Roman" w:hAnsi="Times New Roman" w:cs="Times New Roman"/>
          <w:sz w:val="24"/>
          <w:szCs w:val="24"/>
        </w:rPr>
        <w:t xml:space="preserve"> </w:t>
      </w:r>
      <w:r w:rsidRPr="00784B69">
        <w:rPr>
          <w:rFonts w:ascii="Times New Roman" w:hAnsi="Times New Roman" w:cs="Times New Roman"/>
          <w:sz w:val="24"/>
          <w:szCs w:val="24"/>
        </w:rPr>
        <w:t>de enero de 2011</w:t>
      </w:r>
      <w:r w:rsidR="004067EC" w:rsidRPr="00784B69">
        <w:rPr>
          <w:rFonts w:ascii="Times New Roman" w:hAnsi="Times New Roman" w:cs="Times New Roman"/>
          <w:sz w:val="24"/>
          <w:szCs w:val="24"/>
        </w:rPr>
        <w:t xml:space="preserve"> debió haber concluido el proceso para la revisión del sistema de precios tope 2010-2013, de conformidad con el procedimiento y parámetros establecidos en las condiciones 6-3, 6-4, 6-5 y 6-6 de la Modificación del Título de Concesión de Teléfonos de México (</w:t>
      </w:r>
      <w:r w:rsidR="00B13F01" w:rsidRPr="00784B69">
        <w:rPr>
          <w:rFonts w:ascii="Times New Roman" w:hAnsi="Times New Roman" w:cs="Times New Roman"/>
          <w:sz w:val="24"/>
          <w:szCs w:val="24"/>
        </w:rPr>
        <w:t>Telmex</w:t>
      </w:r>
      <w:r w:rsidR="004067EC" w:rsidRPr="00784B69">
        <w:rPr>
          <w:rFonts w:ascii="Times New Roman" w:hAnsi="Times New Roman" w:cs="Times New Roman"/>
          <w:sz w:val="24"/>
          <w:szCs w:val="24"/>
        </w:rPr>
        <w:t>), al cual están sujetos los servicios incluidos en la canasta de servicios básicos prestados por la empresa y sus tarifas asociadas</w:t>
      </w:r>
      <w:r w:rsidR="00B13F01" w:rsidRPr="00784B69">
        <w:rPr>
          <w:rFonts w:ascii="Times New Roman" w:hAnsi="Times New Roman" w:cs="Times New Roman"/>
          <w:sz w:val="24"/>
          <w:szCs w:val="24"/>
        </w:rPr>
        <w:t>.</w:t>
      </w:r>
      <w:r w:rsidR="00804DEA" w:rsidRPr="00784B69">
        <w:rPr>
          <w:rFonts w:ascii="Times New Roman" w:eastAsia="Times New Roman" w:hAnsi="Times New Roman" w:cs="Times New Roman"/>
          <w:sz w:val="24"/>
          <w:szCs w:val="24"/>
          <w:vertAlign w:val="superscript"/>
        </w:rPr>
        <w:footnoteReference w:id="1"/>
      </w:r>
    </w:p>
    <w:p w14:paraId="2939FF05" w14:textId="77777777" w:rsidR="006068DE" w:rsidRPr="00784B69" w:rsidRDefault="00B13F01" w:rsidP="006068DE">
      <w:pPr>
        <w:ind w:firstLine="708"/>
        <w:jc w:val="both"/>
        <w:rPr>
          <w:rFonts w:ascii="Times New Roman" w:hAnsi="Times New Roman" w:cs="Times New Roman"/>
          <w:sz w:val="24"/>
          <w:szCs w:val="24"/>
        </w:rPr>
      </w:pPr>
      <w:r w:rsidRPr="00784B69">
        <w:rPr>
          <w:rFonts w:ascii="Times New Roman" w:hAnsi="Times New Roman" w:cs="Times New Roman"/>
          <w:sz w:val="24"/>
          <w:szCs w:val="24"/>
        </w:rPr>
        <w:lastRenderedPageBreak/>
        <w:t>La fecha límite pasó</w:t>
      </w:r>
      <w:r w:rsidR="004067EC" w:rsidRPr="00784B69">
        <w:rPr>
          <w:rFonts w:ascii="Times New Roman" w:hAnsi="Times New Roman" w:cs="Times New Roman"/>
          <w:sz w:val="24"/>
          <w:szCs w:val="24"/>
        </w:rPr>
        <w:t xml:space="preserve"> sin que </w:t>
      </w:r>
      <w:r w:rsidRPr="00784B69">
        <w:rPr>
          <w:rFonts w:ascii="Times New Roman" w:hAnsi="Times New Roman" w:cs="Times New Roman"/>
          <w:sz w:val="24"/>
          <w:szCs w:val="24"/>
        </w:rPr>
        <w:t xml:space="preserve">Telmex </w:t>
      </w:r>
      <w:r w:rsidR="004067EC" w:rsidRPr="00784B69">
        <w:rPr>
          <w:rFonts w:ascii="Times New Roman" w:hAnsi="Times New Roman" w:cs="Times New Roman"/>
          <w:sz w:val="24"/>
          <w:szCs w:val="24"/>
        </w:rPr>
        <w:t>y la Comisión Federal de Telecomunicaciones (</w:t>
      </w:r>
      <w:r w:rsidRPr="00784B69">
        <w:rPr>
          <w:rFonts w:ascii="Times New Roman" w:hAnsi="Times New Roman" w:cs="Times New Roman"/>
          <w:sz w:val="24"/>
          <w:szCs w:val="24"/>
        </w:rPr>
        <w:t>Cofetel</w:t>
      </w:r>
      <w:r w:rsidR="004067EC" w:rsidRPr="00784B69">
        <w:rPr>
          <w:rFonts w:ascii="Times New Roman" w:hAnsi="Times New Roman" w:cs="Times New Roman"/>
          <w:sz w:val="24"/>
          <w:szCs w:val="24"/>
        </w:rPr>
        <w:t xml:space="preserve">) pudieran ponerse de acuerdo no en los parámetros del sistema a revisar, </w:t>
      </w:r>
      <w:r w:rsidR="00000979" w:rsidRPr="00784B69">
        <w:rPr>
          <w:rFonts w:ascii="Times New Roman" w:hAnsi="Times New Roman" w:cs="Times New Roman"/>
          <w:sz w:val="24"/>
          <w:szCs w:val="24"/>
        </w:rPr>
        <w:t>el nivel inicial de la canasta y el factor de productividad asociado</w:t>
      </w:r>
      <w:r w:rsidR="004067EC" w:rsidRPr="00784B69">
        <w:rPr>
          <w:rFonts w:ascii="Times New Roman" w:hAnsi="Times New Roman" w:cs="Times New Roman"/>
          <w:sz w:val="24"/>
          <w:szCs w:val="24"/>
        </w:rPr>
        <w:t xml:space="preserve">, sino sobre </w:t>
      </w:r>
      <w:r w:rsidR="00000979" w:rsidRPr="00784B69">
        <w:rPr>
          <w:rFonts w:ascii="Times New Roman" w:hAnsi="Times New Roman" w:cs="Times New Roman"/>
          <w:sz w:val="24"/>
          <w:szCs w:val="24"/>
        </w:rPr>
        <w:t xml:space="preserve">la </w:t>
      </w:r>
      <w:r w:rsidR="004067EC" w:rsidRPr="00784B69">
        <w:rPr>
          <w:rFonts w:ascii="Times New Roman" w:hAnsi="Times New Roman" w:cs="Times New Roman"/>
          <w:sz w:val="24"/>
          <w:szCs w:val="24"/>
        </w:rPr>
        <w:t xml:space="preserve">información que debe presentar la empresa para que la </w:t>
      </w:r>
      <w:r w:rsidR="006068DE" w:rsidRPr="00784B69">
        <w:rPr>
          <w:rFonts w:ascii="Times New Roman" w:hAnsi="Times New Roman" w:cs="Times New Roman"/>
          <w:sz w:val="24"/>
          <w:szCs w:val="24"/>
        </w:rPr>
        <w:t xml:space="preserve">Cofetel </w:t>
      </w:r>
      <w:r w:rsidR="004067EC" w:rsidRPr="00784B69">
        <w:rPr>
          <w:rFonts w:ascii="Times New Roman" w:hAnsi="Times New Roman" w:cs="Times New Roman"/>
          <w:sz w:val="24"/>
          <w:szCs w:val="24"/>
        </w:rPr>
        <w:t>pued</w:t>
      </w:r>
      <w:r w:rsidR="00000979" w:rsidRPr="00784B69">
        <w:rPr>
          <w:rFonts w:ascii="Times New Roman" w:hAnsi="Times New Roman" w:cs="Times New Roman"/>
          <w:sz w:val="24"/>
          <w:szCs w:val="24"/>
        </w:rPr>
        <w:t xml:space="preserve">a formar una opinión </w:t>
      </w:r>
      <w:r w:rsidR="004067EC" w:rsidRPr="00784B69">
        <w:rPr>
          <w:rFonts w:ascii="Times New Roman" w:hAnsi="Times New Roman" w:cs="Times New Roman"/>
          <w:sz w:val="24"/>
          <w:szCs w:val="24"/>
        </w:rPr>
        <w:t xml:space="preserve">fundamentada sobre la situación </w:t>
      </w:r>
      <w:r w:rsidR="00000979" w:rsidRPr="00784B69">
        <w:rPr>
          <w:rFonts w:ascii="Times New Roman" w:hAnsi="Times New Roman" w:cs="Times New Roman"/>
          <w:sz w:val="24"/>
          <w:szCs w:val="24"/>
        </w:rPr>
        <w:t>económica de la misma</w:t>
      </w:r>
      <w:r w:rsidR="004067EC" w:rsidRPr="00784B69">
        <w:rPr>
          <w:rFonts w:ascii="Times New Roman" w:hAnsi="Times New Roman" w:cs="Times New Roman"/>
          <w:sz w:val="24"/>
          <w:szCs w:val="24"/>
        </w:rPr>
        <w:t>,</w:t>
      </w:r>
      <w:r w:rsidR="00000979" w:rsidRPr="00784B69">
        <w:rPr>
          <w:rFonts w:ascii="Times New Roman" w:hAnsi="Times New Roman" w:cs="Times New Roman"/>
          <w:sz w:val="24"/>
          <w:szCs w:val="24"/>
        </w:rPr>
        <w:t xml:space="preserve"> y los posibles integrantes del grupo de tres expertos de reconocido prestigio en la materia que, de acuerdo a lo establecido en la condición 6.7 de la Modificación del Título de Concesión de </w:t>
      </w:r>
      <w:r w:rsidRPr="00784B69">
        <w:rPr>
          <w:rFonts w:ascii="Times New Roman" w:hAnsi="Times New Roman" w:cs="Times New Roman"/>
          <w:sz w:val="24"/>
          <w:szCs w:val="24"/>
        </w:rPr>
        <w:t xml:space="preserve">Telmex </w:t>
      </w:r>
      <w:r w:rsidR="00000979" w:rsidRPr="00784B69">
        <w:rPr>
          <w:rFonts w:ascii="Times New Roman" w:hAnsi="Times New Roman" w:cs="Times New Roman"/>
          <w:sz w:val="24"/>
          <w:szCs w:val="24"/>
        </w:rPr>
        <w:t xml:space="preserve">(Titulo) en caso de desacuerdo entre </w:t>
      </w:r>
      <w:r w:rsidRPr="00784B69">
        <w:rPr>
          <w:rFonts w:ascii="Times New Roman" w:hAnsi="Times New Roman" w:cs="Times New Roman"/>
          <w:sz w:val="24"/>
          <w:szCs w:val="24"/>
        </w:rPr>
        <w:t xml:space="preserve">Telmex </w:t>
      </w:r>
      <w:r w:rsidR="00000979" w:rsidRPr="00784B69">
        <w:rPr>
          <w:rFonts w:ascii="Times New Roman" w:hAnsi="Times New Roman" w:cs="Times New Roman"/>
          <w:sz w:val="24"/>
          <w:szCs w:val="24"/>
        </w:rPr>
        <w:t xml:space="preserve">y la </w:t>
      </w:r>
      <w:r w:rsidR="006068DE" w:rsidRPr="00784B69">
        <w:rPr>
          <w:rFonts w:ascii="Times New Roman" w:hAnsi="Times New Roman" w:cs="Times New Roman"/>
          <w:sz w:val="24"/>
          <w:szCs w:val="24"/>
        </w:rPr>
        <w:t>Cofetel</w:t>
      </w:r>
      <w:r w:rsidR="00000979" w:rsidRPr="00784B69">
        <w:rPr>
          <w:rFonts w:ascii="Times New Roman" w:hAnsi="Times New Roman" w:cs="Times New Roman"/>
          <w:sz w:val="24"/>
          <w:szCs w:val="24"/>
        </w:rPr>
        <w:t>, emitirán una opinión mayoritaria que la Comisión deberá tomar en cuenta para establecer los nuevos parámetros del sistema.</w:t>
      </w:r>
    </w:p>
    <w:p w14:paraId="0192BBA5" w14:textId="6E476245" w:rsidR="006068DE" w:rsidRPr="00784B69" w:rsidRDefault="00000979" w:rsidP="006068DE">
      <w:pPr>
        <w:ind w:firstLine="708"/>
        <w:jc w:val="both"/>
        <w:rPr>
          <w:rFonts w:ascii="Times New Roman" w:hAnsi="Times New Roman" w:cs="Times New Roman"/>
          <w:sz w:val="24"/>
          <w:szCs w:val="24"/>
        </w:rPr>
      </w:pPr>
      <w:r w:rsidRPr="00784B69">
        <w:rPr>
          <w:rFonts w:ascii="Times New Roman" w:hAnsi="Times New Roman" w:cs="Times New Roman"/>
          <w:sz w:val="24"/>
          <w:szCs w:val="24"/>
        </w:rPr>
        <w:t xml:space="preserve">No es la primera vez que hay retrasos en la revisión del sistema de precios tope de </w:t>
      </w:r>
      <w:r w:rsidR="00B13F01" w:rsidRPr="00784B69">
        <w:rPr>
          <w:rFonts w:ascii="Times New Roman" w:hAnsi="Times New Roman" w:cs="Times New Roman"/>
          <w:sz w:val="24"/>
          <w:szCs w:val="24"/>
        </w:rPr>
        <w:t>Telmex</w:t>
      </w:r>
      <w:r w:rsidR="006068DE" w:rsidRPr="00784B69">
        <w:rPr>
          <w:rFonts w:ascii="Times New Roman" w:hAnsi="Times New Roman" w:cs="Times New Roman"/>
          <w:sz w:val="24"/>
          <w:szCs w:val="24"/>
        </w:rPr>
        <w:t>.</w:t>
      </w:r>
      <w:r w:rsidR="00FB587B" w:rsidRPr="00784B69">
        <w:rPr>
          <w:rFonts w:ascii="Times New Roman" w:hAnsi="Times New Roman" w:cs="Times New Roman"/>
          <w:sz w:val="24"/>
          <w:szCs w:val="24"/>
        </w:rPr>
        <w:t xml:space="preserve"> Y</w:t>
      </w:r>
      <w:r w:rsidRPr="00784B69">
        <w:rPr>
          <w:rFonts w:ascii="Times New Roman" w:hAnsi="Times New Roman" w:cs="Times New Roman"/>
          <w:sz w:val="24"/>
          <w:szCs w:val="24"/>
        </w:rPr>
        <w:t>a en la primera revisión del mismo</w:t>
      </w:r>
      <w:r w:rsidR="000F7279" w:rsidRPr="00784B69">
        <w:rPr>
          <w:rFonts w:ascii="Times New Roman" w:hAnsi="Times New Roman" w:cs="Times New Roman"/>
          <w:sz w:val="24"/>
          <w:szCs w:val="24"/>
        </w:rPr>
        <w:t xml:space="preserve"> </w:t>
      </w:r>
      <w:r w:rsidRPr="00784B69">
        <w:rPr>
          <w:rFonts w:ascii="Times New Roman" w:hAnsi="Times New Roman" w:cs="Times New Roman"/>
          <w:sz w:val="24"/>
          <w:szCs w:val="24"/>
        </w:rPr>
        <w:t>los cambios tarifarios</w:t>
      </w:r>
      <w:r w:rsidR="006068DE" w:rsidRPr="00784B69">
        <w:rPr>
          <w:rFonts w:ascii="Times New Roman" w:hAnsi="Times New Roman" w:cs="Times New Roman"/>
          <w:sz w:val="24"/>
          <w:szCs w:val="24"/>
        </w:rPr>
        <w:t>,</w:t>
      </w:r>
      <w:r w:rsidRPr="00784B69">
        <w:rPr>
          <w:rFonts w:ascii="Times New Roman" w:hAnsi="Times New Roman" w:cs="Times New Roman"/>
          <w:sz w:val="24"/>
          <w:szCs w:val="24"/>
        </w:rPr>
        <w:t xml:space="preserve"> en lugar de entrar en vigencia a partir del 1</w:t>
      </w:r>
      <w:r w:rsidR="00FB587B" w:rsidRPr="00784B69">
        <w:rPr>
          <w:rFonts w:ascii="Times New Roman" w:hAnsi="Times New Roman" w:cs="Times New Roman"/>
          <w:sz w:val="24"/>
          <w:szCs w:val="24"/>
        </w:rPr>
        <w:t>º</w:t>
      </w:r>
      <w:r w:rsidRPr="00784B69">
        <w:rPr>
          <w:rFonts w:ascii="Times New Roman" w:hAnsi="Times New Roman" w:cs="Times New Roman"/>
          <w:sz w:val="24"/>
          <w:szCs w:val="24"/>
        </w:rPr>
        <w:t xml:space="preserve"> de enero de 1999</w:t>
      </w:r>
      <w:r w:rsidR="000F7279" w:rsidRPr="00784B69">
        <w:rPr>
          <w:rFonts w:ascii="Times New Roman" w:hAnsi="Times New Roman" w:cs="Times New Roman"/>
          <w:sz w:val="24"/>
          <w:szCs w:val="24"/>
        </w:rPr>
        <w:t>, empezaron a funcionar el 10 de marzo de</w:t>
      </w:r>
      <w:r w:rsidR="006068DE" w:rsidRPr="00784B69">
        <w:rPr>
          <w:rFonts w:ascii="Times New Roman" w:hAnsi="Times New Roman" w:cs="Times New Roman"/>
          <w:sz w:val="24"/>
          <w:szCs w:val="24"/>
        </w:rPr>
        <w:t>l mismo año</w:t>
      </w:r>
      <w:r w:rsidRPr="00784B69">
        <w:rPr>
          <w:rFonts w:ascii="Times New Roman" w:hAnsi="Times New Roman" w:cs="Times New Roman"/>
          <w:sz w:val="24"/>
          <w:szCs w:val="24"/>
        </w:rPr>
        <w:t>, l</w:t>
      </w:r>
      <w:r w:rsidR="000F7279" w:rsidRPr="00784B69">
        <w:rPr>
          <w:rFonts w:ascii="Times New Roman" w:hAnsi="Times New Roman" w:cs="Times New Roman"/>
          <w:sz w:val="24"/>
          <w:szCs w:val="24"/>
        </w:rPr>
        <w:t>o cu</w:t>
      </w:r>
      <w:r w:rsidRPr="00784B69">
        <w:rPr>
          <w:rFonts w:ascii="Times New Roman" w:hAnsi="Times New Roman" w:cs="Times New Roman"/>
          <w:sz w:val="24"/>
          <w:szCs w:val="24"/>
        </w:rPr>
        <w:t>a</w:t>
      </w:r>
      <w:r w:rsidR="000F7279" w:rsidRPr="00784B69">
        <w:rPr>
          <w:rFonts w:ascii="Times New Roman" w:hAnsi="Times New Roman" w:cs="Times New Roman"/>
          <w:sz w:val="24"/>
          <w:szCs w:val="24"/>
        </w:rPr>
        <w:t>l</w:t>
      </w:r>
      <w:r w:rsidRPr="00784B69">
        <w:rPr>
          <w:rFonts w:ascii="Times New Roman" w:hAnsi="Times New Roman" w:cs="Times New Roman"/>
          <w:sz w:val="24"/>
          <w:szCs w:val="24"/>
        </w:rPr>
        <w:t xml:space="preserve"> forzó a </w:t>
      </w:r>
      <w:r w:rsidR="000F7279" w:rsidRPr="00784B69">
        <w:rPr>
          <w:rFonts w:ascii="Times New Roman" w:hAnsi="Times New Roman" w:cs="Times New Roman"/>
          <w:sz w:val="24"/>
          <w:szCs w:val="24"/>
        </w:rPr>
        <w:t xml:space="preserve">la </w:t>
      </w:r>
      <w:r w:rsidR="00FB587B" w:rsidRPr="00784B69">
        <w:rPr>
          <w:rFonts w:ascii="Times New Roman" w:hAnsi="Times New Roman" w:cs="Times New Roman"/>
          <w:sz w:val="24"/>
          <w:szCs w:val="24"/>
        </w:rPr>
        <w:t>Cofetel</w:t>
      </w:r>
      <w:r w:rsidR="000F7279" w:rsidRPr="00784B69">
        <w:rPr>
          <w:rFonts w:ascii="Times New Roman" w:hAnsi="Times New Roman" w:cs="Times New Roman"/>
          <w:sz w:val="24"/>
          <w:szCs w:val="24"/>
        </w:rPr>
        <w:t xml:space="preserve"> a </w:t>
      </w:r>
      <w:r w:rsidRPr="00784B69">
        <w:rPr>
          <w:rFonts w:ascii="Times New Roman" w:hAnsi="Times New Roman" w:cs="Times New Roman"/>
          <w:sz w:val="24"/>
          <w:szCs w:val="24"/>
        </w:rPr>
        <w:t xml:space="preserve">realizar equivalencias financieras para que el </w:t>
      </w:r>
      <w:r w:rsidR="000F7279" w:rsidRPr="00784B69">
        <w:rPr>
          <w:rFonts w:ascii="Times New Roman" w:hAnsi="Times New Roman" w:cs="Times New Roman"/>
          <w:sz w:val="24"/>
          <w:szCs w:val="24"/>
        </w:rPr>
        <w:t xml:space="preserve">Valor </w:t>
      </w:r>
      <w:r w:rsidRPr="00784B69">
        <w:rPr>
          <w:rFonts w:ascii="Times New Roman" w:hAnsi="Times New Roman" w:cs="Times New Roman"/>
          <w:sz w:val="24"/>
          <w:szCs w:val="24"/>
        </w:rPr>
        <w:t xml:space="preserve">Presente Neto (VPN) de los flujos financieros </w:t>
      </w:r>
      <w:r w:rsidR="000F7279" w:rsidRPr="00784B69">
        <w:rPr>
          <w:rFonts w:ascii="Times New Roman" w:hAnsi="Times New Roman" w:cs="Times New Roman"/>
          <w:sz w:val="24"/>
          <w:szCs w:val="24"/>
        </w:rPr>
        <w:t xml:space="preserve">de </w:t>
      </w:r>
      <w:r w:rsidR="00B13F01" w:rsidRPr="00784B69">
        <w:rPr>
          <w:rFonts w:ascii="Times New Roman" w:hAnsi="Times New Roman" w:cs="Times New Roman"/>
          <w:sz w:val="24"/>
          <w:szCs w:val="24"/>
        </w:rPr>
        <w:t>Telmex</w:t>
      </w:r>
      <w:r w:rsidR="006068DE" w:rsidRPr="00784B69">
        <w:rPr>
          <w:rFonts w:ascii="Times New Roman" w:hAnsi="Times New Roman" w:cs="Times New Roman"/>
          <w:sz w:val="24"/>
          <w:szCs w:val="24"/>
        </w:rPr>
        <w:t>,</w:t>
      </w:r>
      <w:r w:rsidR="00B13F01" w:rsidRPr="00784B69">
        <w:rPr>
          <w:rFonts w:ascii="Times New Roman" w:hAnsi="Times New Roman" w:cs="Times New Roman"/>
          <w:sz w:val="24"/>
          <w:szCs w:val="24"/>
        </w:rPr>
        <w:t xml:space="preserve"> </w:t>
      </w:r>
      <w:r w:rsidRPr="00784B69">
        <w:rPr>
          <w:rFonts w:ascii="Times New Roman" w:hAnsi="Times New Roman" w:cs="Times New Roman"/>
          <w:sz w:val="24"/>
          <w:szCs w:val="24"/>
        </w:rPr>
        <w:t>con fecha focal de</w:t>
      </w:r>
      <w:r w:rsidR="000F7279" w:rsidRPr="00784B69">
        <w:rPr>
          <w:rFonts w:ascii="Times New Roman" w:hAnsi="Times New Roman" w:cs="Times New Roman"/>
          <w:sz w:val="24"/>
          <w:szCs w:val="24"/>
        </w:rPr>
        <w:t>l</w:t>
      </w:r>
      <w:r w:rsidRPr="00784B69">
        <w:rPr>
          <w:rFonts w:ascii="Times New Roman" w:hAnsi="Times New Roman" w:cs="Times New Roman"/>
          <w:sz w:val="24"/>
          <w:szCs w:val="24"/>
        </w:rPr>
        <w:t xml:space="preserve"> 10 de marzo de 1999, f</w:t>
      </w:r>
      <w:r w:rsidR="000F7279" w:rsidRPr="00784B69">
        <w:rPr>
          <w:rFonts w:ascii="Times New Roman" w:hAnsi="Times New Roman" w:cs="Times New Roman"/>
          <w:sz w:val="24"/>
          <w:szCs w:val="24"/>
        </w:rPr>
        <w:t xml:space="preserve">ueran equivalentes al VPN de dichos flujos </w:t>
      </w:r>
      <w:r w:rsidRPr="00784B69">
        <w:rPr>
          <w:rFonts w:ascii="Times New Roman" w:hAnsi="Times New Roman" w:cs="Times New Roman"/>
          <w:sz w:val="24"/>
          <w:szCs w:val="24"/>
        </w:rPr>
        <w:t>con fecha focal de</w:t>
      </w:r>
      <w:r w:rsidR="000F7279" w:rsidRPr="00784B69">
        <w:rPr>
          <w:rFonts w:ascii="Times New Roman" w:hAnsi="Times New Roman" w:cs="Times New Roman"/>
          <w:sz w:val="24"/>
          <w:szCs w:val="24"/>
        </w:rPr>
        <w:t>l</w:t>
      </w:r>
      <w:r w:rsidRPr="00784B69">
        <w:rPr>
          <w:rFonts w:ascii="Times New Roman" w:hAnsi="Times New Roman" w:cs="Times New Roman"/>
          <w:sz w:val="24"/>
          <w:szCs w:val="24"/>
        </w:rPr>
        <w:t xml:space="preserve"> 1</w:t>
      </w:r>
      <w:r w:rsidR="00FB587B" w:rsidRPr="00784B69">
        <w:rPr>
          <w:rFonts w:ascii="Times New Roman" w:hAnsi="Times New Roman" w:cs="Times New Roman"/>
          <w:sz w:val="24"/>
          <w:szCs w:val="24"/>
        </w:rPr>
        <w:t>º</w:t>
      </w:r>
      <w:r w:rsidRPr="00784B69">
        <w:rPr>
          <w:rFonts w:ascii="Times New Roman" w:hAnsi="Times New Roman" w:cs="Times New Roman"/>
          <w:sz w:val="24"/>
          <w:szCs w:val="24"/>
        </w:rPr>
        <w:t xml:space="preserve"> de enero de 1999.</w:t>
      </w:r>
    </w:p>
    <w:p w14:paraId="31CCF50E" w14:textId="77777777" w:rsidR="006068DE" w:rsidRPr="00784B69" w:rsidRDefault="003676A0" w:rsidP="006068DE">
      <w:pPr>
        <w:ind w:firstLine="708"/>
        <w:jc w:val="both"/>
        <w:rPr>
          <w:rFonts w:ascii="Times New Roman" w:hAnsi="Times New Roman" w:cs="Times New Roman"/>
          <w:sz w:val="24"/>
          <w:szCs w:val="24"/>
        </w:rPr>
      </w:pPr>
      <w:r w:rsidRPr="00784B69">
        <w:rPr>
          <w:rFonts w:ascii="Times New Roman" w:hAnsi="Times New Roman" w:cs="Times New Roman"/>
          <w:sz w:val="24"/>
          <w:szCs w:val="24"/>
        </w:rPr>
        <w:t>Debe observarse que esta revisión del sistema de pr</w:t>
      </w:r>
      <w:r w:rsidR="006068DE" w:rsidRPr="00784B69">
        <w:rPr>
          <w:rFonts w:ascii="Times New Roman" w:hAnsi="Times New Roman" w:cs="Times New Roman"/>
          <w:sz w:val="24"/>
          <w:szCs w:val="24"/>
        </w:rPr>
        <w:t>ecios tope es más delicada no só</w:t>
      </w:r>
      <w:r w:rsidRPr="00784B69">
        <w:rPr>
          <w:rFonts w:ascii="Times New Roman" w:hAnsi="Times New Roman" w:cs="Times New Roman"/>
          <w:sz w:val="24"/>
          <w:szCs w:val="24"/>
        </w:rPr>
        <w:t xml:space="preserve">lo por la evolución tecnológica del sector a nivel mundial, sino por los cambios en la estructura industrial del mercado mexicano de las telecomunicaciones, y el aprendizaje que la Comisión ha tenido a lo largo de las tres revisiones anteriores. </w:t>
      </w:r>
    </w:p>
    <w:p w14:paraId="5BF24B11" w14:textId="6A579864" w:rsidR="00993643" w:rsidRPr="00784B69" w:rsidRDefault="003676A0" w:rsidP="00993643">
      <w:pPr>
        <w:ind w:firstLine="708"/>
        <w:jc w:val="both"/>
        <w:rPr>
          <w:rFonts w:ascii="Times New Roman" w:hAnsi="Times New Roman" w:cs="Times New Roman"/>
          <w:sz w:val="24"/>
          <w:szCs w:val="24"/>
        </w:rPr>
      </w:pPr>
      <w:r w:rsidRPr="00784B69">
        <w:rPr>
          <w:rFonts w:ascii="Times New Roman" w:hAnsi="Times New Roman" w:cs="Times New Roman"/>
          <w:sz w:val="24"/>
          <w:szCs w:val="24"/>
        </w:rPr>
        <w:t>Al respecto</w:t>
      </w:r>
      <w:r w:rsidR="006068DE" w:rsidRPr="00784B69">
        <w:rPr>
          <w:rFonts w:ascii="Times New Roman" w:hAnsi="Times New Roman" w:cs="Times New Roman"/>
          <w:sz w:val="24"/>
          <w:szCs w:val="24"/>
        </w:rPr>
        <w:t>,</w:t>
      </w:r>
      <w:r w:rsidRPr="00784B69">
        <w:rPr>
          <w:rFonts w:ascii="Times New Roman" w:hAnsi="Times New Roman" w:cs="Times New Roman"/>
          <w:sz w:val="24"/>
          <w:szCs w:val="24"/>
        </w:rPr>
        <w:t xml:space="preserve"> existen </w:t>
      </w:r>
      <w:r w:rsidR="004E1F2D" w:rsidRPr="00784B69">
        <w:rPr>
          <w:rFonts w:ascii="Times New Roman" w:hAnsi="Times New Roman" w:cs="Times New Roman"/>
          <w:sz w:val="24"/>
          <w:szCs w:val="24"/>
        </w:rPr>
        <w:t>múltiples áreas conflictivas</w:t>
      </w:r>
      <w:r w:rsidR="001942C3" w:rsidRPr="00784B69">
        <w:rPr>
          <w:rFonts w:ascii="Times New Roman" w:hAnsi="Times New Roman" w:cs="Times New Roman"/>
          <w:sz w:val="24"/>
          <w:szCs w:val="24"/>
        </w:rPr>
        <w:t xml:space="preserve"> </w:t>
      </w:r>
      <w:r w:rsidR="004E1F2D" w:rsidRPr="00784B69">
        <w:rPr>
          <w:rFonts w:ascii="Times New Roman" w:hAnsi="Times New Roman" w:cs="Times New Roman"/>
          <w:sz w:val="24"/>
          <w:szCs w:val="24"/>
        </w:rPr>
        <w:t xml:space="preserve">que la </w:t>
      </w:r>
      <w:r w:rsidR="00146C48" w:rsidRPr="00784B69">
        <w:rPr>
          <w:rFonts w:ascii="Times New Roman" w:hAnsi="Times New Roman" w:cs="Times New Roman"/>
          <w:sz w:val="24"/>
          <w:szCs w:val="24"/>
        </w:rPr>
        <w:t>Cofetel</w:t>
      </w:r>
      <w:r w:rsidR="004E1F2D" w:rsidRPr="00784B69">
        <w:rPr>
          <w:rFonts w:ascii="Times New Roman" w:hAnsi="Times New Roman" w:cs="Times New Roman"/>
          <w:sz w:val="24"/>
          <w:szCs w:val="24"/>
        </w:rPr>
        <w:t xml:space="preserve"> podría revisar de forma tal que se cumpla</w:t>
      </w:r>
      <w:r w:rsidRPr="00784B69">
        <w:rPr>
          <w:rFonts w:ascii="Times New Roman" w:hAnsi="Times New Roman" w:cs="Times New Roman"/>
          <w:sz w:val="24"/>
          <w:szCs w:val="24"/>
        </w:rPr>
        <w:t xml:space="preserve"> lo establecido en el capítulo 6 del Título de Concesión, en</w:t>
      </w:r>
      <w:r w:rsidR="004E1F2D" w:rsidRPr="00784B69">
        <w:rPr>
          <w:rFonts w:ascii="Times New Roman" w:hAnsi="Times New Roman" w:cs="Times New Roman"/>
          <w:sz w:val="24"/>
          <w:szCs w:val="24"/>
        </w:rPr>
        <w:t xml:space="preserve"> el sentido de que </w:t>
      </w:r>
      <w:r w:rsidRPr="00784B69">
        <w:rPr>
          <w:rFonts w:ascii="Times New Roman" w:hAnsi="Times New Roman" w:cs="Times New Roman"/>
          <w:i/>
          <w:sz w:val="24"/>
          <w:szCs w:val="24"/>
        </w:rPr>
        <w:t>“</w:t>
      </w:r>
      <w:r w:rsidRPr="00784B69">
        <w:rPr>
          <w:rFonts w:ascii="Times New Roman" w:hAnsi="Times New Roman" w:cs="Times New Roman"/>
          <w:sz w:val="24"/>
          <w:szCs w:val="24"/>
        </w:rPr>
        <w:t>los ingresos de la canasta de servicios básicos fueran suficientes para obtener una tasa interna de retorno sobre los flujos relevantes de dichos servicios, equivalente al costo de capital promedio ponderado (TIR=CCPP)”.</w:t>
      </w:r>
      <w:r w:rsidR="004E1F2D" w:rsidRPr="00784B69">
        <w:rPr>
          <w:rFonts w:ascii="Times New Roman" w:hAnsi="Times New Roman" w:cs="Times New Roman"/>
          <w:sz w:val="24"/>
          <w:szCs w:val="24"/>
        </w:rPr>
        <w:t xml:space="preserve"> Entre dichas áreas se encuentran:</w:t>
      </w:r>
    </w:p>
    <w:p w14:paraId="53ECA4F1" w14:textId="7AED5F1F" w:rsidR="00993643" w:rsidRPr="00784B69" w:rsidRDefault="004E1F2D" w:rsidP="00993643">
      <w:pPr>
        <w:pStyle w:val="Prrafodelista"/>
        <w:numPr>
          <w:ilvl w:val="0"/>
          <w:numId w:val="4"/>
        </w:numPr>
        <w:jc w:val="both"/>
        <w:rPr>
          <w:rFonts w:ascii="Times New Roman" w:hAnsi="Times New Roman" w:cs="Times New Roman"/>
          <w:sz w:val="24"/>
          <w:szCs w:val="24"/>
        </w:rPr>
      </w:pPr>
      <w:r w:rsidRPr="00784B69">
        <w:rPr>
          <w:rFonts w:ascii="Times New Roman" w:hAnsi="Times New Roman" w:cs="Times New Roman"/>
          <w:sz w:val="24"/>
          <w:szCs w:val="24"/>
        </w:rPr>
        <w:t xml:space="preserve">Determinación del </w:t>
      </w:r>
      <w:r w:rsidR="003676A0" w:rsidRPr="00784B69">
        <w:rPr>
          <w:rFonts w:ascii="Times New Roman" w:hAnsi="Times New Roman" w:cs="Times New Roman"/>
          <w:sz w:val="24"/>
          <w:szCs w:val="24"/>
        </w:rPr>
        <w:t>Costo de Capital Promedio Ponderado</w:t>
      </w:r>
      <w:r w:rsidRPr="00784B69">
        <w:rPr>
          <w:rFonts w:ascii="Times New Roman" w:hAnsi="Times New Roman" w:cs="Times New Roman"/>
          <w:sz w:val="24"/>
          <w:szCs w:val="24"/>
        </w:rPr>
        <w:t xml:space="preserve"> (CCPP)</w:t>
      </w:r>
    </w:p>
    <w:p w14:paraId="6F120A7A" w14:textId="77777777" w:rsidR="00993643" w:rsidRPr="00784B69" w:rsidRDefault="00993643" w:rsidP="00993643">
      <w:pPr>
        <w:pStyle w:val="Prrafodelista"/>
        <w:ind w:left="1068"/>
        <w:jc w:val="both"/>
        <w:rPr>
          <w:rFonts w:ascii="Times New Roman" w:hAnsi="Times New Roman" w:cs="Times New Roman"/>
          <w:sz w:val="24"/>
          <w:szCs w:val="24"/>
        </w:rPr>
      </w:pPr>
    </w:p>
    <w:p w14:paraId="3C562ADE" w14:textId="3880870B" w:rsidR="006068DE" w:rsidRPr="00784B69" w:rsidRDefault="004E1F2D" w:rsidP="00993643">
      <w:pPr>
        <w:pStyle w:val="Prrafodelista"/>
        <w:ind w:left="0" w:firstLine="709"/>
        <w:jc w:val="both"/>
        <w:rPr>
          <w:rFonts w:ascii="Times New Roman" w:hAnsi="Times New Roman" w:cs="Times New Roman"/>
          <w:sz w:val="24"/>
          <w:szCs w:val="24"/>
        </w:rPr>
      </w:pPr>
      <w:r w:rsidRPr="00784B69">
        <w:rPr>
          <w:rFonts w:ascii="Times New Roman" w:hAnsi="Times New Roman" w:cs="Times New Roman"/>
          <w:sz w:val="24"/>
          <w:szCs w:val="24"/>
        </w:rPr>
        <w:t>El costo de capital, o costo promedio ponderado de capital (CCPP, por sus siglas en español), se define como la suma del costo ponderado de los recursos ajenos y de los recursos propios. Es decir:</w:t>
      </w:r>
    </w:p>
    <w:p w14:paraId="743A4503" w14:textId="77777777" w:rsidR="006068DE" w:rsidRPr="00784B69" w:rsidRDefault="006068DE" w:rsidP="006068DE">
      <w:pPr>
        <w:pStyle w:val="Prrafodelista"/>
        <w:ind w:left="1068"/>
        <w:jc w:val="both"/>
        <w:rPr>
          <w:rFonts w:ascii="Times New Roman" w:hAnsi="Times New Roman" w:cs="Times New Roman"/>
          <w:sz w:val="24"/>
          <w:szCs w:val="24"/>
        </w:rPr>
      </w:pPr>
    </w:p>
    <w:p w14:paraId="373BC5C1" w14:textId="50B75972" w:rsidR="004E1F2D" w:rsidRPr="00784B69" w:rsidRDefault="004E1F2D" w:rsidP="00993643">
      <w:pPr>
        <w:pStyle w:val="Prrafodelista"/>
        <w:ind w:left="709"/>
        <w:jc w:val="both"/>
        <w:rPr>
          <w:rFonts w:ascii="Times New Roman" w:hAnsi="Times New Roman" w:cs="Times New Roman"/>
          <w:sz w:val="24"/>
          <w:szCs w:val="24"/>
        </w:rPr>
      </w:pPr>
      <w:r w:rsidRPr="00784B69">
        <w:rPr>
          <w:rFonts w:ascii="Times New Roman" w:hAnsi="Times New Roman" w:cs="Times New Roman"/>
          <w:sz w:val="24"/>
          <w:szCs w:val="24"/>
        </w:rPr>
        <w:lastRenderedPageBreak/>
        <w:t>CCPP=d*(1-T)*D%+e*P%</w:t>
      </w:r>
    </w:p>
    <w:p w14:paraId="0B1E4E44" w14:textId="77777777" w:rsidR="004E1F2D" w:rsidRPr="00784B69" w:rsidRDefault="004E1F2D" w:rsidP="00993643">
      <w:pPr>
        <w:pStyle w:val="Prrafodelista"/>
        <w:ind w:left="709"/>
        <w:jc w:val="both"/>
        <w:rPr>
          <w:rFonts w:ascii="Times New Roman" w:hAnsi="Times New Roman" w:cs="Times New Roman"/>
          <w:sz w:val="24"/>
          <w:szCs w:val="24"/>
        </w:rPr>
      </w:pPr>
    </w:p>
    <w:p w14:paraId="24AD2F51" w14:textId="77777777" w:rsidR="004E1F2D" w:rsidRPr="00784B69" w:rsidRDefault="004E1F2D" w:rsidP="00993643">
      <w:pPr>
        <w:pStyle w:val="Prrafodelista"/>
        <w:ind w:left="709"/>
        <w:jc w:val="both"/>
        <w:rPr>
          <w:rFonts w:ascii="Times New Roman" w:hAnsi="Times New Roman" w:cs="Times New Roman"/>
          <w:sz w:val="24"/>
          <w:szCs w:val="24"/>
        </w:rPr>
      </w:pPr>
      <w:r w:rsidRPr="00784B69">
        <w:rPr>
          <w:rFonts w:ascii="Times New Roman" w:hAnsi="Times New Roman" w:cs="Times New Roman"/>
          <w:sz w:val="24"/>
          <w:szCs w:val="24"/>
        </w:rPr>
        <w:t>donde:</w:t>
      </w:r>
    </w:p>
    <w:p w14:paraId="22FCFB23" w14:textId="7A766C76" w:rsidR="004E1F2D" w:rsidRPr="00784B69" w:rsidRDefault="004E1F2D" w:rsidP="00993643">
      <w:pPr>
        <w:pStyle w:val="Prrafodelista"/>
        <w:ind w:left="709"/>
        <w:jc w:val="both"/>
        <w:rPr>
          <w:rFonts w:ascii="Times New Roman" w:hAnsi="Times New Roman" w:cs="Times New Roman"/>
          <w:sz w:val="24"/>
          <w:szCs w:val="24"/>
        </w:rPr>
      </w:pPr>
      <w:r w:rsidRPr="00784B69">
        <w:rPr>
          <w:rFonts w:ascii="Times New Roman" w:hAnsi="Times New Roman" w:cs="Times New Roman"/>
          <w:sz w:val="24"/>
          <w:szCs w:val="24"/>
        </w:rPr>
        <w:t>d: costo de la deuda antes de impuestos.</w:t>
      </w:r>
    </w:p>
    <w:p w14:paraId="5E3B36D8" w14:textId="36F7AFAF" w:rsidR="004E1F2D" w:rsidRPr="00784B69" w:rsidRDefault="004E1F2D" w:rsidP="00993643">
      <w:pPr>
        <w:pStyle w:val="Prrafodelista"/>
        <w:ind w:left="709"/>
        <w:jc w:val="both"/>
        <w:rPr>
          <w:rFonts w:ascii="Times New Roman" w:hAnsi="Times New Roman" w:cs="Times New Roman"/>
          <w:sz w:val="24"/>
          <w:szCs w:val="24"/>
        </w:rPr>
      </w:pPr>
      <w:r w:rsidRPr="00784B69">
        <w:rPr>
          <w:rFonts w:ascii="Times New Roman" w:hAnsi="Times New Roman" w:cs="Times New Roman"/>
          <w:sz w:val="24"/>
          <w:szCs w:val="24"/>
        </w:rPr>
        <w:t>T: Tasa de impuestos.</w:t>
      </w:r>
    </w:p>
    <w:p w14:paraId="20B3E11A" w14:textId="77777777" w:rsidR="004E1F2D" w:rsidRPr="00784B69" w:rsidRDefault="004E1F2D" w:rsidP="00993643">
      <w:pPr>
        <w:pStyle w:val="Prrafodelista"/>
        <w:ind w:left="709"/>
        <w:jc w:val="both"/>
        <w:rPr>
          <w:rFonts w:ascii="Times New Roman" w:hAnsi="Times New Roman" w:cs="Times New Roman"/>
          <w:sz w:val="24"/>
          <w:szCs w:val="24"/>
        </w:rPr>
      </w:pPr>
      <w:r w:rsidRPr="00784B69">
        <w:rPr>
          <w:rFonts w:ascii="Times New Roman" w:hAnsi="Times New Roman" w:cs="Times New Roman"/>
          <w:sz w:val="24"/>
          <w:szCs w:val="24"/>
        </w:rPr>
        <w:t>D%: Porcentaje de la deuda sobre el valor total.</w:t>
      </w:r>
    </w:p>
    <w:p w14:paraId="2FCF53C0" w14:textId="4B6708D6" w:rsidR="004E1F2D" w:rsidRPr="00784B69" w:rsidRDefault="006068DE" w:rsidP="00993643">
      <w:pPr>
        <w:pStyle w:val="Prrafodelista"/>
        <w:ind w:left="709"/>
        <w:jc w:val="both"/>
        <w:rPr>
          <w:rFonts w:ascii="Times New Roman" w:hAnsi="Times New Roman" w:cs="Times New Roman"/>
          <w:sz w:val="24"/>
          <w:szCs w:val="24"/>
        </w:rPr>
      </w:pPr>
      <w:r w:rsidRPr="00784B69">
        <w:rPr>
          <w:rFonts w:ascii="Times New Roman" w:hAnsi="Times New Roman" w:cs="Times New Roman"/>
          <w:sz w:val="24"/>
          <w:szCs w:val="24"/>
        </w:rPr>
        <w:t>e</w:t>
      </w:r>
      <w:r w:rsidR="004E1F2D" w:rsidRPr="00784B69">
        <w:rPr>
          <w:rFonts w:ascii="Times New Roman" w:hAnsi="Times New Roman" w:cs="Times New Roman"/>
          <w:sz w:val="24"/>
          <w:szCs w:val="24"/>
        </w:rPr>
        <w:t>: costo del patrimonio o fondos propios (</w:t>
      </w:r>
      <w:r w:rsidR="004E1F2D" w:rsidRPr="00784B69">
        <w:rPr>
          <w:rFonts w:ascii="Times New Roman" w:hAnsi="Times New Roman" w:cs="Times New Roman"/>
          <w:i/>
          <w:sz w:val="24"/>
          <w:szCs w:val="24"/>
        </w:rPr>
        <w:t>equity</w:t>
      </w:r>
      <w:r w:rsidR="004E1F2D" w:rsidRPr="00784B69">
        <w:rPr>
          <w:rFonts w:ascii="Times New Roman" w:hAnsi="Times New Roman" w:cs="Times New Roman"/>
          <w:sz w:val="24"/>
          <w:szCs w:val="24"/>
        </w:rPr>
        <w:t>).</w:t>
      </w:r>
    </w:p>
    <w:p w14:paraId="3CEEB6A5" w14:textId="3FCCB428" w:rsidR="003676A0" w:rsidRPr="00784B69" w:rsidRDefault="004E1F2D" w:rsidP="00993643">
      <w:pPr>
        <w:pStyle w:val="Prrafodelista"/>
        <w:ind w:left="709"/>
        <w:jc w:val="both"/>
        <w:rPr>
          <w:rFonts w:ascii="Times New Roman" w:hAnsi="Times New Roman" w:cs="Times New Roman"/>
          <w:sz w:val="24"/>
          <w:szCs w:val="24"/>
        </w:rPr>
      </w:pPr>
      <w:r w:rsidRPr="00784B69">
        <w:rPr>
          <w:rFonts w:ascii="Times New Roman" w:hAnsi="Times New Roman" w:cs="Times New Roman"/>
          <w:sz w:val="24"/>
          <w:szCs w:val="24"/>
        </w:rPr>
        <w:t>P%: Porcentaje del patrimonio sobre el valor total.</w:t>
      </w:r>
    </w:p>
    <w:p w14:paraId="2CD1E9B2" w14:textId="77777777" w:rsidR="004E1F2D" w:rsidRPr="00784B69" w:rsidRDefault="004E1F2D" w:rsidP="004E1F2D">
      <w:pPr>
        <w:pStyle w:val="Prrafodelista"/>
        <w:ind w:left="0"/>
        <w:jc w:val="both"/>
        <w:rPr>
          <w:rFonts w:ascii="Times New Roman" w:hAnsi="Times New Roman" w:cs="Times New Roman"/>
          <w:sz w:val="24"/>
          <w:szCs w:val="24"/>
        </w:rPr>
      </w:pPr>
    </w:p>
    <w:p w14:paraId="7ED94DAD" w14:textId="56F0C987" w:rsidR="006068DE" w:rsidRPr="00784B69" w:rsidRDefault="004E1F2D" w:rsidP="006068DE">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 xml:space="preserve">Independientemente de </w:t>
      </w:r>
      <w:r w:rsidR="00146C48" w:rsidRPr="00784B69">
        <w:rPr>
          <w:rFonts w:ascii="Times New Roman" w:hAnsi="Times New Roman" w:cs="Times New Roman"/>
          <w:sz w:val="24"/>
          <w:szCs w:val="24"/>
        </w:rPr>
        <w:t>la crítica a los</w:t>
      </w:r>
      <w:r w:rsidRPr="00784B69">
        <w:rPr>
          <w:rFonts w:ascii="Times New Roman" w:hAnsi="Times New Roman" w:cs="Times New Roman"/>
          <w:sz w:val="24"/>
          <w:szCs w:val="24"/>
        </w:rPr>
        <w:t xml:space="preserve"> niveles de CCPP que ha utilizado </w:t>
      </w:r>
      <w:r w:rsidR="006068DE" w:rsidRPr="00784B69">
        <w:rPr>
          <w:rFonts w:ascii="Times New Roman" w:hAnsi="Times New Roman" w:cs="Times New Roman"/>
          <w:sz w:val="24"/>
          <w:szCs w:val="24"/>
        </w:rPr>
        <w:t>Cofetel</w:t>
      </w:r>
      <w:r w:rsidRPr="00784B69">
        <w:rPr>
          <w:rFonts w:ascii="Times New Roman" w:hAnsi="Times New Roman" w:cs="Times New Roman"/>
          <w:sz w:val="24"/>
          <w:szCs w:val="24"/>
        </w:rPr>
        <w:t xml:space="preserve"> en las diferentes </w:t>
      </w:r>
      <w:r w:rsidR="002E11BB" w:rsidRPr="00784B69">
        <w:rPr>
          <w:rFonts w:ascii="Times New Roman" w:hAnsi="Times New Roman" w:cs="Times New Roman"/>
          <w:sz w:val="24"/>
          <w:szCs w:val="24"/>
        </w:rPr>
        <w:t>revisiones</w:t>
      </w:r>
      <w:r w:rsidRPr="00784B69">
        <w:rPr>
          <w:rFonts w:ascii="Times New Roman" w:hAnsi="Times New Roman" w:cs="Times New Roman"/>
          <w:sz w:val="24"/>
          <w:szCs w:val="24"/>
        </w:rPr>
        <w:t xml:space="preserve"> del sistema de precios tope, </w:t>
      </w:r>
      <w:r w:rsidR="002E11BB" w:rsidRPr="00784B69">
        <w:rPr>
          <w:rFonts w:ascii="Times New Roman" w:hAnsi="Times New Roman" w:cs="Times New Roman"/>
          <w:sz w:val="24"/>
          <w:szCs w:val="24"/>
        </w:rPr>
        <w:t xml:space="preserve">niveles </w:t>
      </w:r>
      <w:r w:rsidRPr="00784B69">
        <w:rPr>
          <w:rFonts w:ascii="Times New Roman" w:hAnsi="Times New Roman" w:cs="Times New Roman"/>
          <w:sz w:val="24"/>
          <w:szCs w:val="24"/>
        </w:rPr>
        <w:t>obtenidos de un análisis de regresión del modelo de Fijación de Precios de Activos de Capital</w:t>
      </w:r>
      <w:r w:rsidR="002E11BB" w:rsidRPr="00784B69">
        <w:rPr>
          <w:rFonts w:ascii="Times New Roman" w:hAnsi="Times New Roman" w:cs="Times New Roman"/>
          <w:sz w:val="24"/>
          <w:szCs w:val="24"/>
        </w:rPr>
        <w:t xml:space="preserve"> observando el</w:t>
      </w:r>
      <w:r w:rsidRPr="00784B69">
        <w:rPr>
          <w:rFonts w:ascii="Times New Roman" w:hAnsi="Times New Roman" w:cs="Times New Roman"/>
          <w:sz w:val="24"/>
          <w:szCs w:val="24"/>
        </w:rPr>
        <w:t xml:space="preserve"> comportamiento de las acciones de </w:t>
      </w:r>
      <w:r w:rsidR="006068DE" w:rsidRPr="00784B69">
        <w:rPr>
          <w:rFonts w:ascii="Times New Roman" w:hAnsi="Times New Roman" w:cs="Times New Roman"/>
          <w:sz w:val="24"/>
          <w:szCs w:val="24"/>
        </w:rPr>
        <w:t>Telmex</w:t>
      </w:r>
      <w:r w:rsidRPr="00784B69">
        <w:rPr>
          <w:rFonts w:ascii="Times New Roman" w:hAnsi="Times New Roman" w:cs="Times New Roman"/>
          <w:sz w:val="24"/>
          <w:szCs w:val="24"/>
        </w:rPr>
        <w:t xml:space="preserve"> en el </w:t>
      </w:r>
      <w:r w:rsidR="002E11BB" w:rsidRPr="00784B69">
        <w:rPr>
          <w:rFonts w:ascii="Times New Roman" w:hAnsi="Times New Roman" w:cs="Times New Roman"/>
          <w:sz w:val="24"/>
          <w:szCs w:val="24"/>
        </w:rPr>
        <w:t xml:space="preserve">mercado bursátil de Nueva York, es discutible la capacidad de los modelos utilizados por la </w:t>
      </w:r>
      <w:r w:rsidR="00146C48" w:rsidRPr="00784B69">
        <w:rPr>
          <w:rFonts w:ascii="Times New Roman" w:hAnsi="Times New Roman" w:cs="Times New Roman"/>
          <w:sz w:val="24"/>
          <w:szCs w:val="24"/>
        </w:rPr>
        <w:t>Cofetel</w:t>
      </w:r>
      <w:r w:rsidR="002E11BB" w:rsidRPr="00784B69">
        <w:rPr>
          <w:rFonts w:ascii="Times New Roman" w:hAnsi="Times New Roman" w:cs="Times New Roman"/>
          <w:sz w:val="24"/>
          <w:szCs w:val="24"/>
        </w:rPr>
        <w:t xml:space="preserve"> para reflejar </w:t>
      </w:r>
      <w:r w:rsidR="006068DE" w:rsidRPr="00784B69">
        <w:rPr>
          <w:rFonts w:ascii="Times New Roman" w:hAnsi="Times New Roman" w:cs="Times New Roman"/>
          <w:sz w:val="24"/>
          <w:szCs w:val="24"/>
        </w:rPr>
        <w:t>de</w:t>
      </w:r>
      <w:r w:rsidR="002E11BB" w:rsidRPr="00784B69">
        <w:rPr>
          <w:rFonts w:ascii="Times New Roman" w:hAnsi="Times New Roman" w:cs="Times New Roman"/>
          <w:sz w:val="24"/>
          <w:szCs w:val="24"/>
        </w:rPr>
        <w:t xml:space="preserve"> forma apropiada los costos de las empresas operando en un ambiente competitivo, ya que los mismos fueron diseñados como representaciones de un proveedor monopólico de servicios de telecomunicaciones, es decir, sus costos son computados bajo el supuesto de que una sola empresa suministra los servicios en un área geográfica dada.</w:t>
      </w:r>
    </w:p>
    <w:p w14:paraId="0B46EC84" w14:textId="065A07B9" w:rsidR="006068DE" w:rsidRPr="00784B69" w:rsidRDefault="002E11BB" w:rsidP="006068DE">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 xml:space="preserve">Al respecto, </w:t>
      </w:r>
      <w:r w:rsidR="00146C48" w:rsidRPr="00784B69">
        <w:rPr>
          <w:rFonts w:ascii="Times New Roman" w:hAnsi="Times New Roman" w:cs="Times New Roman"/>
          <w:sz w:val="24"/>
          <w:szCs w:val="24"/>
        </w:rPr>
        <w:t>existen</w:t>
      </w:r>
      <w:r w:rsidRPr="00784B69">
        <w:rPr>
          <w:rFonts w:ascii="Times New Roman" w:hAnsi="Times New Roman" w:cs="Times New Roman"/>
          <w:sz w:val="24"/>
          <w:szCs w:val="24"/>
        </w:rPr>
        <w:t xml:space="preserve"> fuertes diferencias entre el CCPP de una empresa competitiva y el de un monopolio. Por ejemplo, </w:t>
      </w:r>
      <w:r w:rsidR="004E1F2D" w:rsidRPr="00784B69">
        <w:rPr>
          <w:rFonts w:ascii="Times New Roman" w:hAnsi="Times New Roman" w:cs="Times New Roman"/>
          <w:sz w:val="24"/>
          <w:szCs w:val="24"/>
        </w:rPr>
        <w:t>el costo de capital ajustado por riesgo es presumiblemente mayor para una empresa competitiva inmersa en un ambiente de fuerte cambio tecnológico</w:t>
      </w:r>
      <w:r w:rsidRPr="00784B69">
        <w:rPr>
          <w:rFonts w:ascii="Times New Roman" w:hAnsi="Times New Roman" w:cs="Times New Roman"/>
          <w:sz w:val="24"/>
          <w:szCs w:val="24"/>
        </w:rPr>
        <w:t xml:space="preserve"> que para un monopolio</w:t>
      </w:r>
      <w:r w:rsidR="004A70F5" w:rsidRPr="00784B69">
        <w:rPr>
          <w:rFonts w:ascii="Times New Roman" w:hAnsi="Times New Roman" w:cs="Times New Roman"/>
          <w:sz w:val="24"/>
          <w:szCs w:val="24"/>
        </w:rPr>
        <w:t>; asimismo</w:t>
      </w:r>
      <w:r w:rsidRPr="00784B69">
        <w:rPr>
          <w:rFonts w:ascii="Times New Roman" w:hAnsi="Times New Roman" w:cs="Times New Roman"/>
          <w:sz w:val="24"/>
          <w:szCs w:val="24"/>
        </w:rPr>
        <w:t>, dicho costo es afectado sensiblemente por</w:t>
      </w:r>
      <w:r w:rsidR="004E1F2D" w:rsidRPr="00784B69">
        <w:rPr>
          <w:rFonts w:ascii="Times New Roman" w:hAnsi="Times New Roman" w:cs="Times New Roman"/>
          <w:sz w:val="24"/>
          <w:szCs w:val="24"/>
        </w:rPr>
        <w:t xml:space="preserve"> el marco regula</w:t>
      </w:r>
      <w:r w:rsidRPr="00784B69">
        <w:rPr>
          <w:rFonts w:ascii="Times New Roman" w:hAnsi="Times New Roman" w:cs="Times New Roman"/>
          <w:sz w:val="24"/>
          <w:szCs w:val="24"/>
        </w:rPr>
        <w:t>torio</w:t>
      </w:r>
      <w:r w:rsidR="004E1F2D" w:rsidRPr="00784B69">
        <w:rPr>
          <w:rFonts w:ascii="Times New Roman" w:hAnsi="Times New Roman" w:cs="Times New Roman"/>
          <w:sz w:val="24"/>
          <w:szCs w:val="24"/>
        </w:rPr>
        <w:t>. Todo esto obligaría</w:t>
      </w:r>
      <w:r w:rsidRPr="00784B69">
        <w:rPr>
          <w:rFonts w:ascii="Times New Roman" w:hAnsi="Times New Roman" w:cs="Times New Roman"/>
          <w:sz w:val="24"/>
          <w:szCs w:val="24"/>
        </w:rPr>
        <w:t>, en principio,</w:t>
      </w:r>
      <w:r w:rsidR="004E1F2D" w:rsidRPr="00784B69">
        <w:rPr>
          <w:rFonts w:ascii="Times New Roman" w:hAnsi="Times New Roman" w:cs="Times New Roman"/>
          <w:sz w:val="24"/>
          <w:szCs w:val="24"/>
        </w:rPr>
        <w:t xml:space="preserve"> a actualizar constantemente el modelo</w:t>
      </w:r>
      <w:r w:rsidRPr="00784B69">
        <w:rPr>
          <w:rFonts w:ascii="Times New Roman" w:hAnsi="Times New Roman" w:cs="Times New Roman"/>
          <w:sz w:val="24"/>
          <w:szCs w:val="24"/>
        </w:rPr>
        <w:t xml:space="preserve"> de precios tope</w:t>
      </w:r>
      <w:r w:rsidR="004E1F2D" w:rsidRPr="00784B69">
        <w:rPr>
          <w:rFonts w:ascii="Times New Roman" w:hAnsi="Times New Roman" w:cs="Times New Roman"/>
          <w:sz w:val="24"/>
          <w:szCs w:val="24"/>
        </w:rPr>
        <w:t xml:space="preserve"> dependiendo de la evolución del mercado y del marco regulatorio</w:t>
      </w:r>
      <w:r w:rsidRPr="00784B69">
        <w:rPr>
          <w:rFonts w:ascii="Times New Roman" w:hAnsi="Times New Roman" w:cs="Times New Roman"/>
          <w:sz w:val="24"/>
          <w:szCs w:val="24"/>
        </w:rPr>
        <w:t xml:space="preserve"> im</w:t>
      </w:r>
      <w:r w:rsidR="006068DE" w:rsidRPr="00784B69">
        <w:rPr>
          <w:rFonts w:ascii="Times New Roman" w:hAnsi="Times New Roman" w:cs="Times New Roman"/>
          <w:sz w:val="24"/>
          <w:szCs w:val="24"/>
        </w:rPr>
        <w:t>plementado por la Comisión</w:t>
      </w:r>
    </w:p>
    <w:p w14:paraId="6EF4B612" w14:textId="2653FF44" w:rsidR="006068DE" w:rsidRPr="00784B69" w:rsidRDefault="00816246" w:rsidP="006068DE">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Por ejemplo, respecto a algunas propuestas regulatorias de la Comisión que tienden a propiciar esquemas de desagregación forzada de elementos de</w:t>
      </w:r>
      <w:r w:rsidR="004A70F5" w:rsidRPr="00784B69">
        <w:rPr>
          <w:rFonts w:ascii="Times New Roman" w:hAnsi="Times New Roman" w:cs="Times New Roman"/>
          <w:sz w:val="24"/>
          <w:szCs w:val="24"/>
        </w:rPr>
        <w:t xml:space="preserve"> la</w:t>
      </w:r>
      <w:r w:rsidRPr="00784B69">
        <w:rPr>
          <w:rFonts w:ascii="Times New Roman" w:hAnsi="Times New Roman" w:cs="Times New Roman"/>
          <w:sz w:val="24"/>
          <w:szCs w:val="24"/>
        </w:rPr>
        <w:t xml:space="preserve"> red de </w:t>
      </w:r>
      <w:r w:rsidR="00B13F01" w:rsidRPr="00784B69">
        <w:rPr>
          <w:rFonts w:ascii="Times New Roman" w:hAnsi="Times New Roman" w:cs="Times New Roman"/>
          <w:sz w:val="24"/>
          <w:szCs w:val="24"/>
        </w:rPr>
        <w:t>Telmex</w:t>
      </w:r>
      <w:r w:rsidRPr="00784B69">
        <w:rPr>
          <w:rFonts w:ascii="Times New Roman" w:hAnsi="Times New Roman" w:cs="Times New Roman"/>
          <w:sz w:val="24"/>
          <w:szCs w:val="24"/>
        </w:rPr>
        <w:t>, debe observarse que las fórmulas de costos incrementales total promedio de largo plazo (CITPLP) utilizadas por las agencias reguladoras para determinar las tarifas del arrendamiento de dichos elementos no compensan a los concesionarios establecidos por otorgar esta flexibilidad a los entrantes, por lo que dicho estándar distorsiona las decisiones de inversión de los concesionarios establecidos y los entrantes. Al respecto, el prestigiado economista Robert Pindyck</w:t>
      </w:r>
      <w:r w:rsidRPr="00784B69">
        <w:rPr>
          <w:rFonts w:ascii="Times New Roman" w:eastAsia="Times New Roman" w:hAnsi="Times New Roman" w:cs="Times New Roman"/>
          <w:sz w:val="24"/>
          <w:szCs w:val="24"/>
          <w:vertAlign w:val="superscript"/>
        </w:rPr>
        <w:footnoteReference w:id="2"/>
      </w:r>
      <w:r w:rsidRPr="00784B69">
        <w:rPr>
          <w:rFonts w:ascii="Times New Roman" w:hAnsi="Times New Roman" w:cs="Times New Roman"/>
          <w:sz w:val="24"/>
          <w:szCs w:val="24"/>
        </w:rPr>
        <w:t xml:space="preserve"> ha sugerido la adición de un porcentaje en la tasa implícita de retorno utilizada para calcular las tarifas de los elementos desagregados, sugiriendo que el </w:t>
      </w:r>
      <w:r w:rsidRPr="00784B69">
        <w:rPr>
          <w:rFonts w:ascii="Times New Roman" w:hAnsi="Times New Roman" w:cs="Times New Roman"/>
          <w:sz w:val="24"/>
          <w:szCs w:val="24"/>
        </w:rPr>
        <w:lastRenderedPageBreak/>
        <w:t>porcentaje apropiado varía entre 1 y 5 puntos porcentuales dependiendo de la variabilidad del mercado y de factores que afectan la demanda</w:t>
      </w:r>
      <w:r w:rsidR="006068DE" w:rsidRPr="00784B69">
        <w:rPr>
          <w:rFonts w:ascii="Times New Roman" w:hAnsi="Times New Roman" w:cs="Times New Roman"/>
          <w:sz w:val="24"/>
          <w:szCs w:val="24"/>
        </w:rPr>
        <w:t>.</w:t>
      </w:r>
      <w:r w:rsidRPr="00784B69">
        <w:rPr>
          <w:rFonts w:ascii="Times New Roman" w:eastAsia="Times New Roman" w:hAnsi="Times New Roman" w:cs="Times New Roman"/>
          <w:sz w:val="24"/>
          <w:szCs w:val="24"/>
          <w:vertAlign w:val="superscript"/>
        </w:rPr>
        <w:footnoteReference w:id="3"/>
      </w:r>
      <w:r w:rsidRPr="00784B69">
        <w:rPr>
          <w:rFonts w:ascii="Times New Roman" w:hAnsi="Times New Roman" w:cs="Times New Roman"/>
          <w:sz w:val="24"/>
          <w:szCs w:val="24"/>
        </w:rPr>
        <w:t xml:space="preserve"> </w:t>
      </w:r>
    </w:p>
    <w:p w14:paraId="6C28DBB4" w14:textId="54DD1787" w:rsidR="001942C3" w:rsidRPr="00784B69" w:rsidRDefault="001942C3" w:rsidP="006068DE">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 xml:space="preserve">Frente a la elevada incertidumbre económica y tecnológica, resulta difícil que </w:t>
      </w:r>
      <w:r w:rsidR="006068DE" w:rsidRPr="00784B69">
        <w:rPr>
          <w:rFonts w:ascii="Times New Roman" w:hAnsi="Times New Roman" w:cs="Times New Roman"/>
          <w:sz w:val="24"/>
          <w:szCs w:val="24"/>
        </w:rPr>
        <w:t>la Cofetel</w:t>
      </w:r>
      <w:r w:rsidRPr="00784B69">
        <w:rPr>
          <w:rFonts w:ascii="Times New Roman" w:hAnsi="Times New Roman" w:cs="Times New Roman"/>
          <w:sz w:val="24"/>
          <w:szCs w:val="24"/>
        </w:rPr>
        <w:t xml:space="preserve"> pueda reducir sustancialmente los niveles de CCPP utilizados en el cálculo de la rentabilidad económica de la empresa.</w:t>
      </w:r>
    </w:p>
    <w:p w14:paraId="40DC664B" w14:textId="77777777" w:rsidR="006068DE" w:rsidRPr="00784B69" w:rsidRDefault="006068DE" w:rsidP="006068DE">
      <w:pPr>
        <w:pStyle w:val="Prrafodelista"/>
        <w:ind w:left="0" w:firstLine="708"/>
        <w:jc w:val="both"/>
        <w:rPr>
          <w:rFonts w:ascii="Times New Roman" w:hAnsi="Times New Roman" w:cs="Times New Roman"/>
          <w:sz w:val="24"/>
          <w:szCs w:val="24"/>
        </w:rPr>
      </w:pPr>
    </w:p>
    <w:p w14:paraId="4711DA61" w14:textId="6E8DE08E" w:rsidR="00816246" w:rsidRPr="00784B69" w:rsidRDefault="00993643" w:rsidP="006068DE">
      <w:pPr>
        <w:pStyle w:val="Prrafodelista"/>
        <w:ind w:left="0"/>
        <w:jc w:val="both"/>
        <w:rPr>
          <w:rFonts w:ascii="Times New Roman" w:hAnsi="Times New Roman" w:cs="Times New Roman"/>
          <w:sz w:val="24"/>
          <w:szCs w:val="24"/>
        </w:rPr>
      </w:pPr>
      <w:r w:rsidRPr="00784B69">
        <w:rPr>
          <w:rFonts w:ascii="Times New Roman" w:hAnsi="Times New Roman" w:cs="Times New Roman"/>
          <w:sz w:val="24"/>
          <w:szCs w:val="24"/>
        </w:rPr>
        <w:t xml:space="preserve">2. </w:t>
      </w:r>
      <w:r w:rsidR="006068DE" w:rsidRPr="00784B69">
        <w:rPr>
          <w:rFonts w:ascii="Times New Roman" w:hAnsi="Times New Roman" w:cs="Times New Roman"/>
          <w:sz w:val="24"/>
          <w:szCs w:val="24"/>
        </w:rPr>
        <w:t>Migración de la telefonía hacia r</w:t>
      </w:r>
      <w:r w:rsidR="003028DA" w:rsidRPr="00784B69">
        <w:rPr>
          <w:rFonts w:ascii="Times New Roman" w:hAnsi="Times New Roman" w:cs="Times New Roman"/>
          <w:sz w:val="24"/>
          <w:szCs w:val="24"/>
        </w:rPr>
        <w:t>edes IP</w:t>
      </w:r>
    </w:p>
    <w:p w14:paraId="55900F20" w14:textId="2509922F" w:rsidR="006068DE" w:rsidRPr="00784B69" w:rsidRDefault="003028DA" w:rsidP="003028DA">
      <w:pPr>
        <w:jc w:val="both"/>
        <w:rPr>
          <w:rFonts w:ascii="Times New Roman" w:hAnsi="Times New Roman" w:cs="Times New Roman"/>
          <w:sz w:val="24"/>
          <w:szCs w:val="24"/>
        </w:rPr>
      </w:pPr>
      <w:r w:rsidRPr="00784B69">
        <w:rPr>
          <w:rFonts w:ascii="Times New Roman" w:hAnsi="Times New Roman" w:cs="Times New Roman"/>
          <w:sz w:val="24"/>
          <w:szCs w:val="24"/>
        </w:rPr>
        <w:t xml:space="preserve">Los modelos de costos utilizados por la </w:t>
      </w:r>
      <w:r w:rsidR="006068DE" w:rsidRPr="00784B69">
        <w:rPr>
          <w:rFonts w:ascii="Times New Roman" w:hAnsi="Times New Roman" w:cs="Times New Roman"/>
          <w:sz w:val="24"/>
          <w:szCs w:val="24"/>
        </w:rPr>
        <w:t>Cofetel</w:t>
      </w:r>
      <w:r w:rsidRPr="00784B69">
        <w:rPr>
          <w:rFonts w:ascii="Times New Roman" w:hAnsi="Times New Roman" w:cs="Times New Roman"/>
          <w:sz w:val="24"/>
          <w:szCs w:val="24"/>
        </w:rPr>
        <w:t xml:space="preserve"> para modelar los flujos relevantes obtenidos por </w:t>
      </w:r>
      <w:r w:rsidR="00B13F01" w:rsidRPr="00784B69">
        <w:rPr>
          <w:rFonts w:ascii="Times New Roman" w:hAnsi="Times New Roman" w:cs="Times New Roman"/>
          <w:sz w:val="24"/>
          <w:szCs w:val="24"/>
        </w:rPr>
        <w:t xml:space="preserve">Telmex </w:t>
      </w:r>
      <w:r w:rsidRPr="00784B69">
        <w:rPr>
          <w:rFonts w:ascii="Times New Roman" w:hAnsi="Times New Roman" w:cs="Times New Roman"/>
          <w:sz w:val="24"/>
          <w:szCs w:val="24"/>
        </w:rPr>
        <w:t>en la prestación de los servicios básicos controlado</w:t>
      </w:r>
      <w:r w:rsidR="006068DE" w:rsidRPr="00784B69">
        <w:rPr>
          <w:rFonts w:ascii="Times New Roman" w:hAnsi="Times New Roman" w:cs="Times New Roman"/>
          <w:sz w:val="24"/>
          <w:szCs w:val="24"/>
        </w:rPr>
        <w:t>s</w:t>
      </w:r>
      <w:r w:rsidRPr="00784B69">
        <w:rPr>
          <w:rFonts w:ascii="Times New Roman" w:hAnsi="Times New Roman" w:cs="Times New Roman"/>
          <w:sz w:val="24"/>
          <w:szCs w:val="24"/>
        </w:rPr>
        <w:t xml:space="preserve"> son representaciones ingenieriles de las redes de telecomunicaciones</w:t>
      </w:r>
      <w:r w:rsidR="00A870C5" w:rsidRPr="00784B69">
        <w:rPr>
          <w:rFonts w:ascii="Times New Roman" w:hAnsi="Times New Roman" w:cs="Times New Roman"/>
          <w:sz w:val="24"/>
          <w:szCs w:val="24"/>
        </w:rPr>
        <w:t xml:space="preserve"> conmutadas</w:t>
      </w:r>
      <w:r w:rsidRPr="00784B69">
        <w:rPr>
          <w:rFonts w:ascii="Times New Roman" w:hAnsi="Times New Roman" w:cs="Times New Roman"/>
          <w:sz w:val="24"/>
          <w:szCs w:val="24"/>
        </w:rPr>
        <w:t xml:space="preserve">. Aunque dichos modelos </w:t>
      </w:r>
      <w:r w:rsidR="00AA2859" w:rsidRPr="00784B69">
        <w:rPr>
          <w:rFonts w:ascii="Times New Roman" w:hAnsi="Times New Roman" w:cs="Times New Roman"/>
          <w:sz w:val="24"/>
          <w:szCs w:val="24"/>
        </w:rPr>
        <w:t>plantean</w:t>
      </w:r>
      <w:r w:rsidRPr="00784B69">
        <w:rPr>
          <w:rFonts w:ascii="Times New Roman" w:hAnsi="Times New Roman" w:cs="Times New Roman"/>
          <w:sz w:val="24"/>
          <w:szCs w:val="24"/>
        </w:rPr>
        <w:t xml:space="preserve"> </w:t>
      </w:r>
      <w:r w:rsidR="006068DE" w:rsidRPr="00784B69">
        <w:rPr>
          <w:rFonts w:ascii="Times New Roman" w:hAnsi="Times New Roman" w:cs="Times New Roman"/>
          <w:sz w:val="24"/>
          <w:szCs w:val="24"/>
        </w:rPr>
        <w:t>de</w:t>
      </w:r>
      <w:r w:rsidRPr="00784B69">
        <w:rPr>
          <w:rFonts w:ascii="Times New Roman" w:hAnsi="Times New Roman" w:cs="Times New Roman"/>
          <w:sz w:val="24"/>
          <w:szCs w:val="24"/>
        </w:rPr>
        <w:t xml:space="preserve"> forma más adecuada los costos prospectivos</w:t>
      </w:r>
      <w:r w:rsidR="00A870C5" w:rsidRPr="00784B69">
        <w:rPr>
          <w:rFonts w:ascii="Times New Roman" w:hAnsi="Times New Roman" w:cs="Times New Roman"/>
          <w:sz w:val="24"/>
          <w:szCs w:val="24"/>
        </w:rPr>
        <w:t xml:space="preserve"> de dichas redes</w:t>
      </w:r>
      <w:r w:rsidRPr="00784B69">
        <w:rPr>
          <w:rFonts w:ascii="Times New Roman" w:hAnsi="Times New Roman" w:cs="Times New Roman"/>
          <w:sz w:val="24"/>
          <w:szCs w:val="24"/>
        </w:rPr>
        <w:t>, dado que utilizan menos los datos históricos de la</w:t>
      </w:r>
      <w:r w:rsidR="00A870C5" w:rsidRPr="00784B69">
        <w:rPr>
          <w:rFonts w:ascii="Times New Roman" w:hAnsi="Times New Roman" w:cs="Times New Roman"/>
          <w:sz w:val="24"/>
          <w:szCs w:val="24"/>
        </w:rPr>
        <w:t>s</w:t>
      </w:r>
      <w:r w:rsidRPr="00784B69">
        <w:rPr>
          <w:rFonts w:ascii="Times New Roman" w:hAnsi="Times New Roman" w:cs="Times New Roman"/>
          <w:sz w:val="24"/>
          <w:szCs w:val="24"/>
        </w:rPr>
        <w:t xml:space="preserve"> empresa</w:t>
      </w:r>
      <w:r w:rsidR="00A870C5" w:rsidRPr="00784B69">
        <w:rPr>
          <w:rFonts w:ascii="Times New Roman" w:hAnsi="Times New Roman" w:cs="Times New Roman"/>
          <w:sz w:val="24"/>
          <w:szCs w:val="24"/>
        </w:rPr>
        <w:t>s</w:t>
      </w:r>
      <w:r w:rsidRPr="00784B69">
        <w:rPr>
          <w:rFonts w:ascii="Times New Roman" w:hAnsi="Times New Roman" w:cs="Times New Roman"/>
          <w:sz w:val="24"/>
          <w:szCs w:val="24"/>
        </w:rPr>
        <w:t xml:space="preserve">, sus resultados dependen crucialmente de los criterios y factores utilizados en la construcción del modelo y en la </w:t>
      </w:r>
      <w:r w:rsidR="006068DE" w:rsidRPr="00784B69">
        <w:rPr>
          <w:rFonts w:ascii="Times New Roman" w:hAnsi="Times New Roman" w:cs="Times New Roman"/>
          <w:sz w:val="24"/>
          <w:szCs w:val="24"/>
        </w:rPr>
        <w:t>selección de los márgenes.</w:t>
      </w:r>
    </w:p>
    <w:p w14:paraId="2A33A3D8" w14:textId="77777777" w:rsidR="00993643" w:rsidRPr="00784B69" w:rsidRDefault="003028DA" w:rsidP="00993643">
      <w:pPr>
        <w:ind w:firstLine="708"/>
        <w:jc w:val="both"/>
        <w:rPr>
          <w:rFonts w:ascii="Times New Roman" w:hAnsi="Times New Roman" w:cs="Times New Roman"/>
          <w:sz w:val="24"/>
          <w:szCs w:val="24"/>
        </w:rPr>
      </w:pPr>
      <w:r w:rsidRPr="00784B69">
        <w:rPr>
          <w:rFonts w:ascii="Times New Roman" w:hAnsi="Times New Roman" w:cs="Times New Roman"/>
          <w:sz w:val="24"/>
          <w:szCs w:val="24"/>
        </w:rPr>
        <w:t xml:space="preserve">Al respecto, generalmente </w:t>
      </w:r>
      <w:r w:rsidR="006068DE" w:rsidRPr="00784B69">
        <w:rPr>
          <w:rFonts w:ascii="Times New Roman" w:hAnsi="Times New Roman" w:cs="Times New Roman"/>
          <w:sz w:val="24"/>
          <w:szCs w:val="24"/>
        </w:rPr>
        <w:t>la Cofetel</w:t>
      </w:r>
      <w:r w:rsidRPr="00784B69">
        <w:rPr>
          <w:rFonts w:ascii="Times New Roman" w:hAnsi="Times New Roman" w:cs="Times New Roman"/>
          <w:sz w:val="24"/>
          <w:szCs w:val="24"/>
        </w:rPr>
        <w:t xml:space="preserve"> parte de la red conmutada utilizada por el principal operador establecido e introduce algunas mejoras de eficiencia en el diseño de dicha red, expandiendo la red con la mejor tecnología disponible, dimensionándola en forma eficiente de acuerdo a las expectativas de demanda. Un modelo de costos de estas características estaría basado en las centrales actuales del operador establecido a partir de las cuales se introducen algunas mejoras de eficiencia (“</w:t>
      </w:r>
      <w:r w:rsidRPr="00784B69">
        <w:rPr>
          <w:rFonts w:ascii="Times New Roman" w:hAnsi="Times New Roman" w:cs="Times New Roman"/>
          <w:i/>
          <w:sz w:val="24"/>
          <w:szCs w:val="24"/>
        </w:rPr>
        <w:t>Scorched node</w:t>
      </w:r>
      <w:r w:rsidR="00993643" w:rsidRPr="00784B69">
        <w:rPr>
          <w:rFonts w:ascii="Times New Roman" w:hAnsi="Times New Roman" w:cs="Times New Roman"/>
          <w:sz w:val="24"/>
          <w:szCs w:val="24"/>
        </w:rPr>
        <w:t>” o “modelo híbrido”)</w:t>
      </w:r>
    </w:p>
    <w:p w14:paraId="0DA58F6B" w14:textId="77777777" w:rsidR="00993643" w:rsidRPr="00784B69" w:rsidRDefault="003028DA" w:rsidP="00993643">
      <w:pPr>
        <w:ind w:firstLine="708"/>
        <w:jc w:val="both"/>
        <w:rPr>
          <w:rFonts w:ascii="Times New Roman" w:hAnsi="Times New Roman" w:cs="Times New Roman"/>
          <w:sz w:val="24"/>
          <w:szCs w:val="24"/>
        </w:rPr>
      </w:pPr>
      <w:r w:rsidRPr="00784B69">
        <w:rPr>
          <w:rFonts w:ascii="Times New Roman" w:hAnsi="Times New Roman" w:cs="Times New Roman"/>
          <w:sz w:val="24"/>
          <w:szCs w:val="24"/>
        </w:rPr>
        <w:t xml:space="preserve">El problema es que, como producto del acelerado cambio tecnológico del sector, buena parte del tráfico de </w:t>
      </w:r>
      <w:r w:rsidR="00B13F01" w:rsidRPr="00784B69">
        <w:rPr>
          <w:rFonts w:ascii="Times New Roman" w:hAnsi="Times New Roman" w:cs="Times New Roman"/>
          <w:sz w:val="24"/>
          <w:szCs w:val="24"/>
        </w:rPr>
        <w:t xml:space="preserve">Telmex </w:t>
      </w:r>
      <w:r w:rsidRPr="00784B69">
        <w:rPr>
          <w:rFonts w:ascii="Times New Roman" w:hAnsi="Times New Roman" w:cs="Times New Roman"/>
          <w:sz w:val="24"/>
          <w:szCs w:val="24"/>
        </w:rPr>
        <w:t xml:space="preserve">transita a través de la red IP de </w:t>
      </w:r>
      <w:r w:rsidR="00993643" w:rsidRPr="00784B69">
        <w:rPr>
          <w:rFonts w:ascii="Times New Roman" w:hAnsi="Times New Roman" w:cs="Times New Roman"/>
          <w:sz w:val="24"/>
          <w:szCs w:val="24"/>
        </w:rPr>
        <w:t>la</w:t>
      </w:r>
      <w:r w:rsidRPr="00784B69">
        <w:rPr>
          <w:rFonts w:ascii="Times New Roman" w:hAnsi="Times New Roman" w:cs="Times New Roman"/>
          <w:sz w:val="24"/>
          <w:szCs w:val="24"/>
        </w:rPr>
        <w:t xml:space="preserve"> emp</w:t>
      </w:r>
      <w:r w:rsidR="00A870C5" w:rsidRPr="00784B69">
        <w:rPr>
          <w:rFonts w:ascii="Times New Roman" w:hAnsi="Times New Roman" w:cs="Times New Roman"/>
          <w:sz w:val="24"/>
          <w:szCs w:val="24"/>
        </w:rPr>
        <w:t xml:space="preserve">resa. Al respecto, </w:t>
      </w:r>
      <w:r w:rsidR="00993643" w:rsidRPr="00784B69">
        <w:rPr>
          <w:rFonts w:ascii="Times New Roman" w:hAnsi="Times New Roman" w:cs="Times New Roman"/>
          <w:sz w:val="24"/>
          <w:szCs w:val="24"/>
        </w:rPr>
        <w:t>no só</w:t>
      </w:r>
      <w:r w:rsidRPr="00784B69">
        <w:rPr>
          <w:rFonts w:ascii="Times New Roman" w:hAnsi="Times New Roman" w:cs="Times New Roman"/>
          <w:sz w:val="24"/>
          <w:szCs w:val="24"/>
        </w:rPr>
        <w:t xml:space="preserve">lo los costos de una red </w:t>
      </w:r>
      <w:r w:rsidR="00A870C5" w:rsidRPr="00784B69">
        <w:rPr>
          <w:rFonts w:ascii="Times New Roman" w:hAnsi="Times New Roman" w:cs="Times New Roman"/>
          <w:sz w:val="24"/>
          <w:szCs w:val="24"/>
        </w:rPr>
        <w:t>IP</w:t>
      </w:r>
      <w:r w:rsidRPr="00784B69">
        <w:rPr>
          <w:rFonts w:ascii="Times New Roman" w:hAnsi="Times New Roman" w:cs="Times New Roman"/>
          <w:sz w:val="24"/>
          <w:szCs w:val="24"/>
        </w:rPr>
        <w:t xml:space="preserve"> son inferiores a los correspondientes a una red conmutada, sino que dada la </w:t>
      </w:r>
      <w:r w:rsidR="00A870C5" w:rsidRPr="00784B69">
        <w:rPr>
          <w:rFonts w:ascii="Times New Roman" w:hAnsi="Times New Roman" w:cs="Times New Roman"/>
          <w:sz w:val="24"/>
          <w:szCs w:val="24"/>
        </w:rPr>
        <w:t>multiplicidad</w:t>
      </w:r>
      <w:r w:rsidRPr="00784B69">
        <w:rPr>
          <w:rFonts w:ascii="Times New Roman" w:hAnsi="Times New Roman" w:cs="Times New Roman"/>
          <w:sz w:val="24"/>
          <w:szCs w:val="24"/>
        </w:rPr>
        <w:t xml:space="preserve"> de plataformas tecnológicas que integran las redes de nueva generación</w:t>
      </w:r>
      <w:r w:rsidR="00A870C5" w:rsidRPr="00784B69">
        <w:rPr>
          <w:rFonts w:ascii="Times New Roman" w:hAnsi="Times New Roman" w:cs="Times New Roman"/>
          <w:sz w:val="24"/>
          <w:szCs w:val="24"/>
        </w:rPr>
        <w:t>,</w:t>
      </w:r>
      <w:r w:rsidRPr="00784B69">
        <w:rPr>
          <w:rFonts w:ascii="Times New Roman" w:hAnsi="Times New Roman" w:cs="Times New Roman"/>
          <w:sz w:val="24"/>
          <w:szCs w:val="24"/>
        </w:rPr>
        <w:t xml:space="preserve"> no existe un </w:t>
      </w:r>
      <w:r w:rsidR="00A870C5" w:rsidRPr="00784B69">
        <w:rPr>
          <w:rFonts w:ascii="Times New Roman" w:hAnsi="Times New Roman" w:cs="Times New Roman"/>
          <w:sz w:val="24"/>
          <w:szCs w:val="24"/>
        </w:rPr>
        <w:t xml:space="preserve">estándar de </w:t>
      </w:r>
      <w:r w:rsidRPr="00784B69">
        <w:rPr>
          <w:rFonts w:ascii="Times New Roman" w:hAnsi="Times New Roman" w:cs="Times New Roman"/>
          <w:sz w:val="24"/>
          <w:szCs w:val="24"/>
        </w:rPr>
        <w:t xml:space="preserve">modelo de costos de redes IP que tenga el </w:t>
      </w:r>
      <w:r w:rsidR="00A870C5" w:rsidRPr="00784B69">
        <w:rPr>
          <w:rFonts w:ascii="Times New Roman" w:hAnsi="Times New Roman" w:cs="Times New Roman"/>
          <w:sz w:val="24"/>
          <w:szCs w:val="24"/>
        </w:rPr>
        <w:t>consenso</w:t>
      </w:r>
      <w:r w:rsidRPr="00784B69">
        <w:rPr>
          <w:rFonts w:ascii="Times New Roman" w:hAnsi="Times New Roman" w:cs="Times New Roman"/>
          <w:sz w:val="24"/>
          <w:szCs w:val="24"/>
        </w:rPr>
        <w:t xml:space="preserve"> de los diferentes reguladores en el mundo.</w:t>
      </w:r>
      <w:r w:rsidR="00A870C5" w:rsidRPr="00784B69">
        <w:rPr>
          <w:rFonts w:ascii="Times New Roman" w:hAnsi="Times New Roman" w:cs="Times New Roman"/>
          <w:sz w:val="24"/>
          <w:szCs w:val="24"/>
        </w:rPr>
        <w:t xml:space="preserve"> Adicionalmente, la rápida evolución tecnológica de las múltiples redes IP vuelve impráctica la idea de un único modelo de costos que sea actualizado en forma permanente</w:t>
      </w:r>
      <w:r w:rsidRPr="00784B69">
        <w:rPr>
          <w:rFonts w:ascii="Times New Roman" w:hAnsi="Times New Roman" w:cs="Times New Roman"/>
          <w:sz w:val="24"/>
          <w:szCs w:val="24"/>
        </w:rPr>
        <w:t>.</w:t>
      </w:r>
    </w:p>
    <w:p w14:paraId="130DF2A5" w14:textId="77777777" w:rsidR="00993643" w:rsidRPr="00784B69" w:rsidRDefault="00A870C5" w:rsidP="00993643">
      <w:pPr>
        <w:ind w:firstLine="708"/>
        <w:jc w:val="both"/>
        <w:rPr>
          <w:rFonts w:ascii="Times New Roman" w:hAnsi="Times New Roman" w:cs="Times New Roman"/>
          <w:sz w:val="24"/>
          <w:szCs w:val="24"/>
        </w:rPr>
      </w:pPr>
      <w:r w:rsidRPr="00784B69">
        <w:rPr>
          <w:rFonts w:ascii="Times New Roman" w:hAnsi="Times New Roman" w:cs="Times New Roman"/>
          <w:sz w:val="24"/>
          <w:szCs w:val="24"/>
        </w:rPr>
        <w:lastRenderedPageBreak/>
        <w:t xml:space="preserve">Por lo anterior, los costos prospectivos de la red de </w:t>
      </w:r>
      <w:r w:rsidR="00B13F01" w:rsidRPr="00784B69">
        <w:rPr>
          <w:rFonts w:ascii="Times New Roman" w:hAnsi="Times New Roman" w:cs="Times New Roman"/>
          <w:sz w:val="24"/>
          <w:szCs w:val="24"/>
        </w:rPr>
        <w:t xml:space="preserve">Telmex </w:t>
      </w:r>
      <w:r w:rsidRPr="00784B69">
        <w:rPr>
          <w:rFonts w:ascii="Times New Roman" w:hAnsi="Times New Roman" w:cs="Times New Roman"/>
          <w:sz w:val="24"/>
          <w:szCs w:val="24"/>
        </w:rPr>
        <w:t xml:space="preserve">que necesariamente tendrá que utilizar </w:t>
      </w:r>
      <w:r w:rsidR="00993643" w:rsidRPr="00784B69">
        <w:rPr>
          <w:rFonts w:ascii="Times New Roman" w:hAnsi="Times New Roman" w:cs="Times New Roman"/>
          <w:sz w:val="24"/>
          <w:szCs w:val="24"/>
        </w:rPr>
        <w:t>la Cofetel</w:t>
      </w:r>
      <w:r w:rsidRPr="00784B69">
        <w:rPr>
          <w:rFonts w:ascii="Times New Roman" w:hAnsi="Times New Roman" w:cs="Times New Roman"/>
          <w:sz w:val="24"/>
          <w:szCs w:val="24"/>
        </w:rPr>
        <w:t>, y los flujos relevantes obte</w:t>
      </w:r>
      <w:r w:rsidR="00993643" w:rsidRPr="00784B69">
        <w:rPr>
          <w:rFonts w:ascii="Times New Roman" w:hAnsi="Times New Roman" w:cs="Times New Roman"/>
          <w:sz w:val="24"/>
          <w:szCs w:val="24"/>
        </w:rPr>
        <w:t>nidos de los mismos, presentará</w:t>
      </w:r>
      <w:r w:rsidRPr="00784B69">
        <w:rPr>
          <w:rFonts w:ascii="Times New Roman" w:hAnsi="Times New Roman" w:cs="Times New Roman"/>
          <w:sz w:val="24"/>
          <w:szCs w:val="24"/>
        </w:rPr>
        <w:t>n una visión distorsionada de la situación económica de la empresa.</w:t>
      </w:r>
    </w:p>
    <w:p w14:paraId="50034A55" w14:textId="70EAC480" w:rsidR="00A870C5" w:rsidRPr="00784B69" w:rsidRDefault="00993643" w:rsidP="00993643">
      <w:pPr>
        <w:pStyle w:val="Prrafodelista"/>
        <w:numPr>
          <w:ilvl w:val="0"/>
          <w:numId w:val="5"/>
        </w:numPr>
        <w:jc w:val="both"/>
        <w:rPr>
          <w:rFonts w:ascii="Times New Roman" w:hAnsi="Times New Roman" w:cs="Times New Roman"/>
          <w:sz w:val="24"/>
          <w:szCs w:val="24"/>
        </w:rPr>
      </w:pPr>
      <w:r w:rsidRPr="00784B69">
        <w:rPr>
          <w:rFonts w:ascii="Times New Roman" w:hAnsi="Times New Roman" w:cs="Times New Roman"/>
          <w:sz w:val="24"/>
          <w:szCs w:val="24"/>
        </w:rPr>
        <w:t>Ingresos a</w:t>
      </w:r>
      <w:r w:rsidR="00A870C5" w:rsidRPr="00784B69">
        <w:rPr>
          <w:rFonts w:ascii="Times New Roman" w:hAnsi="Times New Roman" w:cs="Times New Roman"/>
          <w:sz w:val="24"/>
          <w:szCs w:val="24"/>
        </w:rPr>
        <w:t>sociados a “El que llama paga”</w:t>
      </w:r>
    </w:p>
    <w:p w14:paraId="6252C9C6" w14:textId="77777777" w:rsidR="00FF3177" w:rsidRPr="00784B69" w:rsidRDefault="00FF3177" w:rsidP="00FF3177">
      <w:pPr>
        <w:pStyle w:val="Prrafodelista"/>
        <w:ind w:left="0"/>
        <w:jc w:val="both"/>
        <w:rPr>
          <w:rFonts w:ascii="Times New Roman" w:hAnsi="Times New Roman" w:cs="Times New Roman"/>
          <w:sz w:val="24"/>
          <w:szCs w:val="24"/>
        </w:rPr>
      </w:pPr>
    </w:p>
    <w:p w14:paraId="278596F3" w14:textId="7772C57B" w:rsidR="00993643" w:rsidRPr="00784B69" w:rsidRDefault="00FF3177" w:rsidP="00993643">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 xml:space="preserve">En algunos medios informativos se ha publicado que la </w:t>
      </w:r>
      <w:r w:rsidR="00993643" w:rsidRPr="00784B69">
        <w:rPr>
          <w:rFonts w:ascii="Times New Roman" w:hAnsi="Times New Roman" w:cs="Times New Roman"/>
          <w:sz w:val="24"/>
          <w:szCs w:val="24"/>
        </w:rPr>
        <w:t>Cofete</w:t>
      </w:r>
      <w:r w:rsidR="00AA2859" w:rsidRPr="00784B69">
        <w:rPr>
          <w:rFonts w:ascii="Times New Roman" w:hAnsi="Times New Roman" w:cs="Times New Roman"/>
          <w:sz w:val="24"/>
          <w:szCs w:val="24"/>
        </w:rPr>
        <w:t>l</w:t>
      </w:r>
      <w:r w:rsidRPr="00784B69">
        <w:rPr>
          <w:rFonts w:ascii="Times New Roman" w:hAnsi="Times New Roman" w:cs="Times New Roman"/>
          <w:sz w:val="24"/>
          <w:szCs w:val="24"/>
        </w:rPr>
        <w:t xml:space="preserve"> ha planteado que se introduzcan en el cálculo de los flujos relevantes los ingresos de </w:t>
      </w:r>
      <w:r w:rsidR="00B13F01" w:rsidRPr="00784B69">
        <w:rPr>
          <w:rFonts w:ascii="Times New Roman" w:hAnsi="Times New Roman" w:cs="Times New Roman"/>
          <w:sz w:val="24"/>
          <w:szCs w:val="24"/>
        </w:rPr>
        <w:t xml:space="preserve">Telmex </w:t>
      </w:r>
      <w:r w:rsidRPr="00784B69">
        <w:rPr>
          <w:rFonts w:ascii="Times New Roman" w:hAnsi="Times New Roman" w:cs="Times New Roman"/>
          <w:sz w:val="24"/>
          <w:szCs w:val="24"/>
        </w:rPr>
        <w:t xml:space="preserve">correspondiente al tráfico de redes fijas a redes móviles bajo la modalidad de “El que llama paga” (EQLLP). </w:t>
      </w:r>
    </w:p>
    <w:p w14:paraId="29B5A9AC" w14:textId="77777777" w:rsidR="00993643" w:rsidRPr="00784B69" w:rsidRDefault="00804DEA" w:rsidP="00993643">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Al respecto, d</w:t>
      </w:r>
      <w:r w:rsidR="00FF3177" w:rsidRPr="00784B69">
        <w:rPr>
          <w:rFonts w:ascii="Times New Roman" w:hAnsi="Times New Roman" w:cs="Times New Roman"/>
          <w:sz w:val="24"/>
          <w:szCs w:val="24"/>
        </w:rPr>
        <w:t>ebe observa</w:t>
      </w:r>
      <w:r w:rsidR="00086AF2" w:rsidRPr="00784B69">
        <w:rPr>
          <w:rFonts w:ascii="Times New Roman" w:hAnsi="Times New Roman" w:cs="Times New Roman"/>
          <w:sz w:val="24"/>
          <w:szCs w:val="24"/>
        </w:rPr>
        <w:t xml:space="preserve">rse que en 1998 la </w:t>
      </w:r>
      <w:r w:rsidR="00993643" w:rsidRPr="00784B69">
        <w:rPr>
          <w:rFonts w:ascii="Times New Roman" w:hAnsi="Times New Roman" w:cs="Times New Roman"/>
          <w:sz w:val="24"/>
          <w:szCs w:val="24"/>
        </w:rPr>
        <w:t>Cofetel</w:t>
      </w:r>
      <w:r w:rsidR="00086AF2" w:rsidRPr="00784B69">
        <w:rPr>
          <w:rFonts w:ascii="Times New Roman" w:hAnsi="Times New Roman" w:cs="Times New Roman"/>
          <w:sz w:val="24"/>
          <w:szCs w:val="24"/>
        </w:rPr>
        <w:t xml:space="preserve"> logró</w:t>
      </w:r>
      <w:r w:rsidR="00FF3177" w:rsidRPr="00784B69">
        <w:rPr>
          <w:rFonts w:ascii="Times New Roman" w:hAnsi="Times New Roman" w:cs="Times New Roman"/>
          <w:sz w:val="24"/>
          <w:szCs w:val="24"/>
        </w:rPr>
        <w:t xml:space="preserve"> que los ingresos de </w:t>
      </w:r>
      <w:r w:rsidR="00B13F01" w:rsidRPr="00784B69">
        <w:rPr>
          <w:rFonts w:ascii="Times New Roman" w:hAnsi="Times New Roman" w:cs="Times New Roman"/>
          <w:sz w:val="24"/>
          <w:szCs w:val="24"/>
        </w:rPr>
        <w:t xml:space="preserve">Telmex </w:t>
      </w:r>
      <w:r w:rsidR="00086AF2" w:rsidRPr="00784B69">
        <w:rPr>
          <w:rFonts w:ascii="Times New Roman" w:hAnsi="Times New Roman" w:cs="Times New Roman"/>
          <w:sz w:val="24"/>
          <w:szCs w:val="24"/>
        </w:rPr>
        <w:t xml:space="preserve">correspondientes </w:t>
      </w:r>
      <w:r w:rsidR="00FF3177" w:rsidRPr="00784B69">
        <w:rPr>
          <w:rFonts w:ascii="Times New Roman" w:hAnsi="Times New Roman" w:cs="Times New Roman"/>
          <w:sz w:val="24"/>
          <w:szCs w:val="24"/>
        </w:rPr>
        <w:t xml:space="preserve">a los cobros </w:t>
      </w:r>
      <w:r w:rsidR="00086AF2" w:rsidRPr="00784B69">
        <w:rPr>
          <w:rFonts w:ascii="Times New Roman" w:hAnsi="Times New Roman" w:cs="Times New Roman"/>
          <w:sz w:val="24"/>
          <w:szCs w:val="24"/>
        </w:rPr>
        <w:t xml:space="preserve">que la empresa efectuaba a otros operadores locales y de larga distancia </w:t>
      </w:r>
      <w:r w:rsidR="00FF3177" w:rsidRPr="00784B69">
        <w:rPr>
          <w:rFonts w:ascii="Times New Roman" w:hAnsi="Times New Roman" w:cs="Times New Roman"/>
          <w:sz w:val="24"/>
          <w:szCs w:val="24"/>
        </w:rPr>
        <w:t>por concepto de tarifas de interconexión</w:t>
      </w:r>
      <w:r w:rsidR="00086AF2" w:rsidRPr="00784B69">
        <w:rPr>
          <w:rFonts w:ascii="Times New Roman" w:hAnsi="Times New Roman" w:cs="Times New Roman"/>
          <w:sz w:val="24"/>
          <w:szCs w:val="24"/>
        </w:rPr>
        <w:t>,</w:t>
      </w:r>
      <w:r w:rsidR="00FF3177" w:rsidRPr="00784B69">
        <w:rPr>
          <w:rFonts w:ascii="Times New Roman" w:hAnsi="Times New Roman" w:cs="Times New Roman"/>
          <w:sz w:val="24"/>
          <w:szCs w:val="24"/>
        </w:rPr>
        <w:t xml:space="preserve"> fueran tomados en cuenta para determinar la rentabilidad asociada a la prestación de los servicios básicos controlados, en tanto que dichos cobros se originaban por la terminación de tráfico en la red de </w:t>
      </w:r>
      <w:r w:rsidR="00B13F01" w:rsidRPr="00784B69">
        <w:rPr>
          <w:rFonts w:ascii="Times New Roman" w:hAnsi="Times New Roman" w:cs="Times New Roman"/>
          <w:sz w:val="24"/>
          <w:szCs w:val="24"/>
        </w:rPr>
        <w:t xml:space="preserve">Telmex </w:t>
      </w:r>
      <w:r w:rsidR="00FF3177" w:rsidRPr="00784B69">
        <w:rPr>
          <w:rFonts w:ascii="Times New Roman" w:hAnsi="Times New Roman" w:cs="Times New Roman"/>
          <w:sz w:val="24"/>
          <w:szCs w:val="24"/>
        </w:rPr>
        <w:t xml:space="preserve">correspondiente a dichos servicios. </w:t>
      </w:r>
    </w:p>
    <w:p w14:paraId="698243C2" w14:textId="4F125561" w:rsidR="00993643" w:rsidRPr="00784B69" w:rsidRDefault="00FF3177" w:rsidP="00993643">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Sin embargo, el caso es diferente en lo que respecta a la tarifa de interconexión asociada</w:t>
      </w:r>
      <w:r w:rsidR="00993643" w:rsidRPr="00784B69">
        <w:rPr>
          <w:rFonts w:ascii="Times New Roman" w:hAnsi="Times New Roman" w:cs="Times New Roman"/>
          <w:sz w:val="24"/>
          <w:szCs w:val="24"/>
        </w:rPr>
        <w:t xml:space="preserve"> a “El que llama paga”, ya que é</w:t>
      </w:r>
      <w:r w:rsidRPr="00784B69">
        <w:rPr>
          <w:rFonts w:ascii="Times New Roman" w:hAnsi="Times New Roman" w:cs="Times New Roman"/>
          <w:sz w:val="24"/>
          <w:szCs w:val="24"/>
        </w:rPr>
        <w:t xml:space="preserve">sta es </w:t>
      </w:r>
      <w:r w:rsidR="00086AF2" w:rsidRPr="00784B69">
        <w:rPr>
          <w:rFonts w:ascii="Times New Roman" w:hAnsi="Times New Roman" w:cs="Times New Roman"/>
          <w:sz w:val="24"/>
          <w:szCs w:val="24"/>
        </w:rPr>
        <w:t>un cargo pagado</w:t>
      </w:r>
      <w:r w:rsidRPr="00784B69">
        <w:rPr>
          <w:rFonts w:ascii="Times New Roman" w:hAnsi="Times New Roman" w:cs="Times New Roman"/>
          <w:sz w:val="24"/>
          <w:szCs w:val="24"/>
        </w:rPr>
        <w:t xml:space="preserve"> por </w:t>
      </w:r>
      <w:r w:rsidR="00B13F01" w:rsidRPr="00784B69">
        <w:rPr>
          <w:rFonts w:ascii="Times New Roman" w:hAnsi="Times New Roman" w:cs="Times New Roman"/>
          <w:sz w:val="24"/>
          <w:szCs w:val="24"/>
        </w:rPr>
        <w:t xml:space="preserve">Telmex </w:t>
      </w:r>
      <w:r w:rsidRPr="00784B69">
        <w:rPr>
          <w:rFonts w:ascii="Times New Roman" w:hAnsi="Times New Roman" w:cs="Times New Roman"/>
          <w:sz w:val="24"/>
          <w:szCs w:val="24"/>
        </w:rPr>
        <w:t>a los</w:t>
      </w:r>
      <w:r w:rsidR="00993643" w:rsidRPr="00784B69">
        <w:rPr>
          <w:rFonts w:ascii="Times New Roman" w:hAnsi="Times New Roman" w:cs="Times New Roman"/>
          <w:sz w:val="24"/>
          <w:szCs w:val="24"/>
        </w:rPr>
        <w:t xml:space="preserve"> operadores celulares para que é</w:t>
      </w:r>
      <w:r w:rsidRPr="00784B69">
        <w:rPr>
          <w:rFonts w:ascii="Times New Roman" w:hAnsi="Times New Roman" w:cs="Times New Roman"/>
          <w:sz w:val="24"/>
          <w:szCs w:val="24"/>
        </w:rPr>
        <w:t xml:space="preserve">stos terminen las llamadas provenientes de usuarios suscritos a la red de </w:t>
      </w:r>
      <w:r w:rsidR="00B13F01" w:rsidRPr="00784B69">
        <w:rPr>
          <w:rFonts w:ascii="Times New Roman" w:hAnsi="Times New Roman" w:cs="Times New Roman"/>
          <w:sz w:val="24"/>
          <w:szCs w:val="24"/>
        </w:rPr>
        <w:t xml:space="preserve">Telmex </w:t>
      </w:r>
      <w:r w:rsidRPr="00784B69">
        <w:rPr>
          <w:rFonts w:ascii="Times New Roman" w:hAnsi="Times New Roman" w:cs="Times New Roman"/>
          <w:sz w:val="24"/>
          <w:szCs w:val="24"/>
        </w:rPr>
        <w:t xml:space="preserve">en </w:t>
      </w:r>
      <w:r w:rsidR="00086AF2" w:rsidRPr="00784B69">
        <w:rPr>
          <w:rFonts w:ascii="Times New Roman" w:hAnsi="Times New Roman" w:cs="Times New Roman"/>
          <w:sz w:val="24"/>
          <w:szCs w:val="24"/>
        </w:rPr>
        <w:t>sus redes</w:t>
      </w:r>
      <w:r w:rsidR="00804DEA" w:rsidRPr="00784B69">
        <w:rPr>
          <w:rFonts w:ascii="Times New Roman" w:hAnsi="Times New Roman" w:cs="Times New Roman"/>
          <w:sz w:val="24"/>
          <w:szCs w:val="24"/>
        </w:rPr>
        <w:t>, tráfico que difícilmente puede considerarse que pertenezca a los servicios básicos controlados de acuerdo a los</w:t>
      </w:r>
      <w:r w:rsidR="00993643" w:rsidRPr="00784B69">
        <w:rPr>
          <w:rFonts w:ascii="Times New Roman" w:hAnsi="Times New Roman" w:cs="Times New Roman"/>
          <w:sz w:val="24"/>
          <w:szCs w:val="24"/>
        </w:rPr>
        <w:t xml:space="preserve"> criterios establecidos en el </w:t>
      </w:r>
      <w:r w:rsidR="00AA2859" w:rsidRPr="00784B69">
        <w:rPr>
          <w:rFonts w:ascii="Times New Roman" w:hAnsi="Times New Roman" w:cs="Times New Roman"/>
          <w:sz w:val="24"/>
          <w:szCs w:val="24"/>
        </w:rPr>
        <w:t>T</w:t>
      </w:r>
      <w:r w:rsidR="00993643" w:rsidRPr="00784B69">
        <w:rPr>
          <w:rFonts w:ascii="Times New Roman" w:hAnsi="Times New Roman" w:cs="Times New Roman"/>
          <w:sz w:val="24"/>
          <w:szCs w:val="24"/>
        </w:rPr>
        <w:t>ít</w:t>
      </w:r>
      <w:r w:rsidR="00804DEA" w:rsidRPr="00784B69">
        <w:rPr>
          <w:rFonts w:ascii="Times New Roman" w:hAnsi="Times New Roman" w:cs="Times New Roman"/>
          <w:sz w:val="24"/>
          <w:szCs w:val="24"/>
        </w:rPr>
        <w:t>ulo</w:t>
      </w:r>
      <w:r w:rsidR="00AA2859" w:rsidRPr="00784B69">
        <w:rPr>
          <w:rFonts w:ascii="Times New Roman" w:hAnsi="Times New Roman" w:cs="Times New Roman"/>
          <w:sz w:val="24"/>
          <w:szCs w:val="24"/>
        </w:rPr>
        <w:t xml:space="preserve"> de C</w:t>
      </w:r>
      <w:r w:rsidR="00993643" w:rsidRPr="00784B69">
        <w:rPr>
          <w:rFonts w:ascii="Times New Roman" w:hAnsi="Times New Roman" w:cs="Times New Roman"/>
          <w:sz w:val="24"/>
          <w:szCs w:val="24"/>
        </w:rPr>
        <w:t>oncesión</w:t>
      </w:r>
      <w:r w:rsidR="00804DEA" w:rsidRPr="00784B69">
        <w:rPr>
          <w:rFonts w:ascii="Times New Roman" w:hAnsi="Times New Roman" w:cs="Times New Roman"/>
          <w:sz w:val="24"/>
          <w:szCs w:val="24"/>
        </w:rPr>
        <w:t>.</w:t>
      </w:r>
    </w:p>
    <w:p w14:paraId="0F212C8C" w14:textId="77777777" w:rsidR="00993643" w:rsidRPr="00784B69" w:rsidRDefault="00086AF2" w:rsidP="00993643">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Por otro lado, en lo que respecta a la parte de la tarifa al público de “El que llama paga” correspondiente al cobro por concepto de facturación y cobranza</w:t>
      </w:r>
      <w:r w:rsidR="00804DEA" w:rsidRPr="00784B69">
        <w:rPr>
          <w:rFonts w:ascii="Times New Roman" w:hAnsi="Times New Roman" w:cs="Times New Roman"/>
          <w:sz w:val="24"/>
          <w:szCs w:val="24"/>
        </w:rPr>
        <w:t>, mismo</w:t>
      </w:r>
      <w:r w:rsidRPr="00784B69">
        <w:rPr>
          <w:rFonts w:ascii="Times New Roman" w:hAnsi="Times New Roman" w:cs="Times New Roman"/>
          <w:sz w:val="24"/>
          <w:szCs w:val="24"/>
        </w:rPr>
        <w:t xml:space="preserve"> que retiene </w:t>
      </w:r>
      <w:r w:rsidR="00B13F01" w:rsidRPr="00784B69">
        <w:rPr>
          <w:rFonts w:ascii="Times New Roman" w:hAnsi="Times New Roman" w:cs="Times New Roman"/>
          <w:sz w:val="24"/>
          <w:szCs w:val="24"/>
        </w:rPr>
        <w:t>Telmex</w:t>
      </w:r>
      <w:r w:rsidR="00993643" w:rsidRPr="00784B69">
        <w:rPr>
          <w:rFonts w:ascii="Times New Roman" w:hAnsi="Times New Roman" w:cs="Times New Roman"/>
          <w:sz w:val="24"/>
          <w:szCs w:val="24"/>
        </w:rPr>
        <w:t>, su inclusión sería problemática ya que el Tí</w:t>
      </w:r>
      <w:r w:rsidRPr="00784B69">
        <w:rPr>
          <w:rFonts w:ascii="Times New Roman" w:hAnsi="Times New Roman" w:cs="Times New Roman"/>
          <w:sz w:val="24"/>
          <w:szCs w:val="24"/>
        </w:rPr>
        <w:t>tulo señala explícitamente que dichos servicios no están regulados</w:t>
      </w:r>
      <w:r w:rsidR="001942C3" w:rsidRPr="00784B69">
        <w:rPr>
          <w:rFonts w:ascii="Times New Roman" w:hAnsi="Times New Roman" w:cs="Times New Roman"/>
          <w:sz w:val="24"/>
          <w:szCs w:val="24"/>
        </w:rPr>
        <w:t>, por lo que sus ingresos no pueden ser considerados en el cálculo de los flujos relevantes asociados a la prestación de los servicios básicos controlados.</w:t>
      </w:r>
      <w:r w:rsidRPr="00784B69">
        <w:rPr>
          <w:rFonts w:ascii="Times New Roman" w:hAnsi="Times New Roman" w:cs="Times New Roman"/>
          <w:sz w:val="24"/>
          <w:szCs w:val="24"/>
        </w:rPr>
        <w:t xml:space="preserve"> </w:t>
      </w:r>
    </w:p>
    <w:p w14:paraId="731B42EE" w14:textId="77777777" w:rsidR="00993643" w:rsidRPr="00784B69" w:rsidRDefault="00086AF2" w:rsidP="00993643">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Al respecto, aun suponiendo que se</w:t>
      </w:r>
      <w:r w:rsidR="00804DEA" w:rsidRPr="00784B69">
        <w:rPr>
          <w:rFonts w:ascii="Times New Roman" w:hAnsi="Times New Roman" w:cs="Times New Roman"/>
          <w:sz w:val="24"/>
          <w:szCs w:val="24"/>
        </w:rPr>
        <w:t xml:space="preserve"> puede</w:t>
      </w:r>
      <w:r w:rsidR="00993643" w:rsidRPr="00784B69">
        <w:rPr>
          <w:rFonts w:ascii="Times New Roman" w:hAnsi="Times New Roman" w:cs="Times New Roman"/>
          <w:sz w:val="24"/>
          <w:szCs w:val="24"/>
        </w:rPr>
        <w:t>n</w:t>
      </w:r>
      <w:r w:rsidR="00804DEA" w:rsidRPr="00784B69">
        <w:rPr>
          <w:rFonts w:ascii="Times New Roman" w:hAnsi="Times New Roman" w:cs="Times New Roman"/>
          <w:sz w:val="24"/>
          <w:szCs w:val="24"/>
        </w:rPr>
        <w:t xml:space="preserve"> introducir los ingresos </w:t>
      </w:r>
      <w:r w:rsidRPr="00784B69">
        <w:rPr>
          <w:rFonts w:ascii="Times New Roman" w:hAnsi="Times New Roman" w:cs="Times New Roman"/>
          <w:sz w:val="24"/>
          <w:szCs w:val="24"/>
        </w:rPr>
        <w:t>y costo</w:t>
      </w:r>
      <w:r w:rsidR="00804DEA" w:rsidRPr="00784B69">
        <w:rPr>
          <w:rFonts w:ascii="Times New Roman" w:hAnsi="Times New Roman" w:cs="Times New Roman"/>
          <w:sz w:val="24"/>
          <w:szCs w:val="24"/>
        </w:rPr>
        <w:t>s</w:t>
      </w:r>
      <w:r w:rsidRPr="00784B69">
        <w:rPr>
          <w:rFonts w:ascii="Times New Roman" w:hAnsi="Times New Roman" w:cs="Times New Roman"/>
          <w:sz w:val="24"/>
          <w:szCs w:val="24"/>
        </w:rPr>
        <w:t xml:space="preserve"> de dichos servicios en el cálculo de los flujos relevantes, debe observarse que el CITPLP de los servicios de facturación y cobranza no se obtiene de un modelo de costos, es decir, de una representación ingenieril de una red de telecomunicaciones, sino del cálculo de los costos de los diferentes elementos involucrados (impresión de facturas, compra de sobres, envío de correo, adquisición de servicios de cobranza, costo de los montos de cartera vencida y morosa, etc</w:t>
      </w:r>
      <w:r w:rsidR="00993643" w:rsidRPr="00784B69">
        <w:rPr>
          <w:rFonts w:ascii="Times New Roman" w:hAnsi="Times New Roman" w:cs="Times New Roman"/>
          <w:sz w:val="24"/>
          <w:szCs w:val="24"/>
        </w:rPr>
        <w:t>étera</w:t>
      </w:r>
      <w:r w:rsidRPr="00784B69">
        <w:rPr>
          <w:rFonts w:ascii="Times New Roman" w:hAnsi="Times New Roman" w:cs="Times New Roman"/>
          <w:sz w:val="24"/>
          <w:szCs w:val="24"/>
        </w:rPr>
        <w:t xml:space="preserve">). </w:t>
      </w:r>
    </w:p>
    <w:p w14:paraId="40BC96A5" w14:textId="77777777" w:rsidR="00993643" w:rsidRPr="00784B69" w:rsidRDefault="00086AF2" w:rsidP="00993643">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t>Algunos de los valores de estos elementos, como los montos de cartera morosa e incobrable de los concesionarios entrantes, pueden cambian fuertemente en el tiempo</w:t>
      </w:r>
      <w:r w:rsidR="00993643" w:rsidRPr="00784B69">
        <w:rPr>
          <w:rFonts w:ascii="Times New Roman" w:hAnsi="Times New Roman" w:cs="Times New Roman"/>
          <w:sz w:val="24"/>
          <w:szCs w:val="24"/>
        </w:rPr>
        <w:t>;</w:t>
      </w:r>
      <w:r w:rsidRPr="00784B69">
        <w:rPr>
          <w:rFonts w:ascii="Times New Roman" w:hAnsi="Times New Roman" w:cs="Times New Roman"/>
          <w:sz w:val="24"/>
          <w:szCs w:val="24"/>
        </w:rPr>
        <w:t xml:space="preserve"> sin embargo, para determinar el CITPLP e</w:t>
      </w:r>
      <w:r w:rsidR="00993643" w:rsidRPr="00784B69">
        <w:rPr>
          <w:rFonts w:ascii="Times New Roman" w:hAnsi="Times New Roman" w:cs="Times New Roman"/>
          <w:sz w:val="24"/>
          <w:szCs w:val="24"/>
        </w:rPr>
        <w:t>s</w:t>
      </w:r>
      <w:r w:rsidRPr="00784B69">
        <w:rPr>
          <w:rFonts w:ascii="Times New Roman" w:hAnsi="Times New Roman" w:cs="Times New Roman"/>
          <w:sz w:val="24"/>
          <w:szCs w:val="24"/>
        </w:rPr>
        <w:t xml:space="preserve"> necesario asignar un valor al parámetro de porcentaje de cartera morosa e incobrable con base, por ejemplo, en los resultados disponibles del periodo anterior, mismo que puede subestimar el que se presente posteriormente generando una perdida a la empresa que realiza la cobranza si no se realizan las adecuaciones pertinentes.</w:t>
      </w:r>
    </w:p>
    <w:p w14:paraId="1756E67D" w14:textId="66DE0518" w:rsidR="00A870C5" w:rsidRPr="00784B69" w:rsidRDefault="001942C3" w:rsidP="00993643">
      <w:pPr>
        <w:pStyle w:val="Prrafodelista"/>
        <w:ind w:left="0" w:firstLine="708"/>
        <w:jc w:val="both"/>
        <w:rPr>
          <w:rFonts w:ascii="Times New Roman" w:hAnsi="Times New Roman" w:cs="Times New Roman"/>
          <w:sz w:val="24"/>
          <w:szCs w:val="24"/>
        </w:rPr>
      </w:pPr>
      <w:r w:rsidRPr="00784B69">
        <w:rPr>
          <w:rFonts w:ascii="Times New Roman" w:hAnsi="Times New Roman" w:cs="Times New Roman"/>
          <w:sz w:val="24"/>
          <w:szCs w:val="24"/>
        </w:rPr>
        <w:lastRenderedPageBreak/>
        <w:t xml:space="preserve">Frente a las complejidades técnicas y regulatorias involucradas, resulta conveniente que la </w:t>
      </w:r>
      <w:r w:rsidR="00993643" w:rsidRPr="00784B69">
        <w:rPr>
          <w:rFonts w:ascii="Times New Roman" w:hAnsi="Times New Roman" w:cs="Times New Roman"/>
          <w:sz w:val="24"/>
          <w:szCs w:val="24"/>
        </w:rPr>
        <w:t>Cofetel</w:t>
      </w:r>
      <w:r w:rsidRPr="00784B69">
        <w:rPr>
          <w:rFonts w:ascii="Times New Roman" w:hAnsi="Times New Roman" w:cs="Times New Roman"/>
          <w:sz w:val="24"/>
          <w:szCs w:val="24"/>
        </w:rPr>
        <w:t xml:space="preserve"> no tome en cuenta en la determinación de la rentabilidad económica de la empresa sus ingresos asociados a la modalidad “El que llama paga”.</w:t>
      </w:r>
    </w:p>
    <w:sectPr w:rsidR="00A870C5" w:rsidRPr="00784B69">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068261" w14:textId="77777777" w:rsidR="00DD5D58" w:rsidRDefault="00DD5D58" w:rsidP="00816246">
      <w:pPr>
        <w:spacing w:after="0" w:line="240" w:lineRule="auto"/>
      </w:pPr>
      <w:r>
        <w:separator/>
      </w:r>
    </w:p>
  </w:endnote>
  <w:endnote w:type="continuationSeparator" w:id="0">
    <w:p w14:paraId="3C2AE63E" w14:textId="77777777" w:rsidR="00DD5D58" w:rsidRDefault="00DD5D58" w:rsidP="008162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3856122"/>
      <w:docPartObj>
        <w:docPartGallery w:val="Page Numbers (Bottom of Page)"/>
        <w:docPartUnique/>
      </w:docPartObj>
    </w:sdtPr>
    <w:sdtEndPr>
      <w:rPr>
        <w:noProof/>
      </w:rPr>
    </w:sdtEndPr>
    <w:sdtContent>
      <w:p w14:paraId="5228E66A" w14:textId="09CF824E" w:rsidR="001942C3" w:rsidRDefault="001942C3">
        <w:pPr>
          <w:pStyle w:val="Piedepgina"/>
          <w:jc w:val="center"/>
        </w:pPr>
        <w:r>
          <w:fldChar w:fldCharType="begin"/>
        </w:r>
        <w:r>
          <w:instrText xml:space="preserve"> PAGE   \* MERGEFORMAT </w:instrText>
        </w:r>
        <w:r>
          <w:fldChar w:fldCharType="separate"/>
        </w:r>
        <w:r w:rsidR="00F12372">
          <w:rPr>
            <w:noProof/>
          </w:rPr>
          <w:t>6</w:t>
        </w:r>
        <w:r>
          <w:rPr>
            <w:noProof/>
          </w:rPr>
          <w:fldChar w:fldCharType="end"/>
        </w:r>
      </w:p>
    </w:sdtContent>
  </w:sdt>
  <w:p w14:paraId="42264FCC" w14:textId="77777777" w:rsidR="001942C3" w:rsidRDefault="001942C3">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CF451F" w14:textId="77777777" w:rsidR="00DD5D58" w:rsidRDefault="00DD5D58" w:rsidP="00816246">
      <w:pPr>
        <w:spacing w:after="0" w:line="240" w:lineRule="auto"/>
      </w:pPr>
      <w:r>
        <w:separator/>
      </w:r>
    </w:p>
  </w:footnote>
  <w:footnote w:type="continuationSeparator" w:id="0">
    <w:p w14:paraId="21E09611" w14:textId="77777777" w:rsidR="00DD5D58" w:rsidRDefault="00DD5D58" w:rsidP="00816246">
      <w:pPr>
        <w:spacing w:after="0" w:line="240" w:lineRule="auto"/>
      </w:pPr>
      <w:r>
        <w:continuationSeparator/>
      </w:r>
    </w:p>
  </w:footnote>
  <w:footnote w:id="1">
    <w:p w14:paraId="3049FE08" w14:textId="52712FD2" w:rsidR="00804DEA" w:rsidRPr="00FB587B" w:rsidRDefault="00804DEA" w:rsidP="00804DEA">
      <w:pPr>
        <w:pStyle w:val="NormalWeb"/>
        <w:spacing w:after="120"/>
        <w:ind w:right="90"/>
        <w:jc w:val="both"/>
        <w:rPr>
          <w:sz w:val="20"/>
          <w:szCs w:val="20"/>
        </w:rPr>
      </w:pPr>
      <w:r w:rsidRPr="00FB587B">
        <w:rPr>
          <w:rStyle w:val="Refdenotaalpie"/>
          <w:sz w:val="20"/>
          <w:szCs w:val="20"/>
        </w:rPr>
        <w:footnoteRef/>
      </w:r>
      <w:r w:rsidRPr="00FB587B">
        <w:rPr>
          <w:sz w:val="20"/>
          <w:szCs w:val="20"/>
        </w:rPr>
        <w:t xml:space="preserve"> “Modificación del Título de Concesión de </w:t>
      </w:r>
      <w:r w:rsidR="00FB587B">
        <w:rPr>
          <w:sz w:val="20"/>
          <w:szCs w:val="20"/>
        </w:rPr>
        <w:t>Telmex</w:t>
      </w:r>
      <w:r w:rsidRPr="00FB587B">
        <w:rPr>
          <w:sz w:val="20"/>
          <w:szCs w:val="20"/>
        </w:rPr>
        <w:t>. Capítulo 6. Regulación Tarifaria y Equilibrio Financiero.</w:t>
      </w:r>
    </w:p>
    <w:p w14:paraId="21A34B8E" w14:textId="69477BE6" w:rsidR="00804DEA" w:rsidRPr="00FB587B" w:rsidRDefault="00804DEA" w:rsidP="00804DEA">
      <w:pPr>
        <w:pStyle w:val="NormalWeb"/>
        <w:spacing w:after="120"/>
        <w:ind w:right="90"/>
        <w:jc w:val="both"/>
        <w:rPr>
          <w:sz w:val="20"/>
          <w:szCs w:val="20"/>
        </w:rPr>
      </w:pPr>
      <w:r w:rsidRPr="00FB587B">
        <w:rPr>
          <w:color w:val="000000"/>
          <w:sz w:val="20"/>
          <w:szCs w:val="20"/>
        </w:rPr>
        <w:t>6.1. Regulación Tarifaria de los Servici</w:t>
      </w:r>
      <w:r w:rsidR="00FB587B">
        <w:rPr>
          <w:color w:val="000000"/>
          <w:sz w:val="20"/>
          <w:szCs w:val="20"/>
        </w:rPr>
        <w:t>os Públicos de Telefonía Básica</w:t>
      </w:r>
    </w:p>
    <w:p w14:paraId="1096477A" w14:textId="77777777" w:rsidR="00804DEA" w:rsidRPr="00FB587B" w:rsidRDefault="00804DEA" w:rsidP="00804DEA">
      <w:pPr>
        <w:pStyle w:val="NormalWeb"/>
        <w:spacing w:after="120"/>
        <w:ind w:right="90"/>
        <w:jc w:val="both"/>
        <w:rPr>
          <w:sz w:val="20"/>
          <w:szCs w:val="20"/>
        </w:rPr>
      </w:pPr>
      <w:r w:rsidRPr="00FB587B">
        <w:rPr>
          <w:color w:val="000000"/>
          <w:sz w:val="20"/>
          <w:szCs w:val="20"/>
        </w:rPr>
        <w:t>La explotación comercial de los servicios públicos de telefonía básica que Telmex proporcione por medio de la red pública concesionada, se realizará conforme a un control tarifario autorizado por La Secretaría, de acuerdo a las bases que se establecen en las condiciones de este capítulo.</w:t>
      </w:r>
    </w:p>
    <w:p w14:paraId="7040D255" w14:textId="77777777" w:rsidR="00804DEA" w:rsidRPr="00FB587B" w:rsidRDefault="00804DEA" w:rsidP="00804DEA">
      <w:pPr>
        <w:pStyle w:val="NormalWeb"/>
        <w:spacing w:after="120"/>
        <w:ind w:right="90"/>
        <w:jc w:val="both"/>
        <w:rPr>
          <w:sz w:val="20"/>
          <w:szCs w:val="20"/>
        </w:rPr>
      </w:pPr>
      <w:r w:rsidRPr="00FB587B">
        <w:rPr>
          <w:color w:val="000000"/>
          <w:sz w:val="20"/>
          <w:szCs w:val="20"/>
        </w:rPr>
        <w:t>Los cargos y tarifas del servicio público de telefonía básica a los que se les aplicará dicho control tarifario serán los comprendidos en la siguiente canasta de servicios básicos:</w:t>
      </w:r>
    </w:p>
    <w:p w14:paraId="01D1FDDF" w14:textId="77777777" w:rsidR="00804DEA" w:rsidRPr="00FB587B" w:rsidRDefault="00804DEA" w:rsidP="00804DEA">
      <w:pPr>
        <w:pStyle w:val="NormalWeb"/>
        <w:numPr>
          <w:ilvl w:val="0"/>
          <w:numId w:val="2"/>
        </w:numPr>
        <w:spacing w:after="0" w:line="240" w:lineRule="auto"/>
        <w:ind w:left="810" w:right="90"/>
        <w:jc w:val="both"/>
        <w:rPr>
          <w:sz w:val="20"/>
          <w:szCs w:val="20"/>
        </w:rPr>
      </w:pPr>
      <w:r w:rsidRPr="00FB587B">
        <w:rPr>
          <w:color w:val="000000"/>
          <w:sz w:val="20"/>
          <w:szCs w:val="20"/>
        </w:rPr>
        <w:t xml:space="preserve">  Cargos por instalación y conexión a La Red de líneas terminales y troncales, para telefonía básica, para suscriptores residenciales y comerciales, que incluye un tiempo o número máximo de llamadas locales libres de cobro, en lo sucesivo: renta básica.</w:t>
      </w:r>
    </w:p>
    <w:p w14:paraId="7004F235" w14:textId="77777777" w:rsidR="00804DEA" w:rsidRPr="00FB587B" w:rsidRDefault="00804DEA" w:rsidP="00804DEA">
      <w:pPr>
        <w:pStyle w:val="NormalWeb"/>
        <w:numPr>
          <w:ilvl w:val="0"/>
          <w:numId w:val="2"/>
        </w:numPr>
        <w:spacing w:before="100" w:beforeAutospacing="1" w:after="100" w:afterAutospacing="1" w:line="240" w:lineRule="auto"/>
        <w:ind w:left="810" w:right="90"/>
        <w:jc w:val="both"/>
        <w:rPr>
          <w:sz w:val="20"/>
          <w:szCs w:val="20"/>
        </w:rPr>
      </w:pPr>
      <w:r w:rsidRPr="00FB587B">
        <w:rPr>
          <w:color w:val="000000"/>
          <w:sz w:val="20"/>
          <w:szCs w:val="20"/>
        </w:rPr>
        <w:t xml:space="preserve">  Renta básica mensual por línea contratada, terminal o troncal, para servicio de telefonía básica, para suscriptores residenciales y comerciales, que incluye un tiempo o número máximo de llamadas locales libres de cobro, en lo sucesivo: renta básica.</w:t>
      </w:r>
    </w:p>
    <w:p w14:paraId="08CCBCD1" w14:textId="77777777" w:rsidR="00804DEA" w:rsidRPr="00FB587B" w:rsidRDefault="00804DEA" w:rsidP="00804DEA">
      <w:pPr>
        <w:pStyle w:val="NormalWeb"/>
        <w:numPr>
          <w:ilvl w:val="0"/>
          <w:numId w:val="2"/>
        </w:numPr>
        <w:spacing w:before="100" w:beforeAutospacing="1" w:after="100" w:afterAutospacing="1" w:line="240" w:lineRule="auto"/>
        <w:ind w:left="810" w:right="90"/>
        <w:jc w:val="both"/>
        <w:rPr>
          <w:sz w:val="20"/>
          <w:szCs w:val="20"/>
        </w:rPr>
      </w:pPr>
      <w:r w:rsidRPr="00FB587B">
        <w:rPr>
          <w:color w:val="000000"/>
          <w:sz w:val="20"/>
          <w:szCs w:val="20"/>
        </w:rPr>
        <w:t xml:space="preserve">  Tarifas por el servicio público local para conferencias telefónicas, medidas por número de llamadas,  duración y distancia, según la hora del día y día de la semana, para suscriptores residenciales y comerciales, en lo sucesivo: servicio local medido.</w:t>
      </w:r>
    </w:p>
    <w:p w14:paraId="31745500" w14:textId="77777777" w:rsidR="00804DEA" w:rsidRPr="00FB587B" w:rsidRDefault="00804DEA" w:rsidP="00804DEA">
      <w:pPr>
        <w:pStyle w:val="NormalWeb"/>
        <w:numPr>
          <w:ilvl w:val="0"/>
          <w:numId w:val="2"/>
        </w:numPr>
        <w:spacing w:before="100" w:beforeAutospacing="1" w:after="100" w:afterAutospacing="1" w:line="240" w:lineRule="auto"/>
        <w:ind w:left="810" w:right="90"/>
        <w:jc w:val="both"/>
        <w:rPr>
          <w:sz w:val="20"/>
          <w:szCs w:val="20"/>
        </w:rPr>
      </w:pPr>
      <w:r w:rsidRPr="00FB587B">
        <w:rPr>
          <w:color w:val="000000"/>
          <w:sz w:val="20"/>
          <w:szCs w:val="20"/>
        </w:rPr>
        <w:t xml:space="preserve">  Tarifas por el servicio público de larga distancia nacional para conferencias telefónicas, medidas por distancia y duración, según la clase de llamada, hora del día y día de la semana, para suscriptores residenciales y comerciales, en lo sucesivo: larga distancia nacional.</w:t>
      </w:r>
    </w:p>
    <w:p w14:paraId="56EDA7E2" w14:textId="2A422D19" w:rsidR="00804DEA" w:rsidRPr="00FB587B" w:rsidRDefault="00804DEA" w:rsidP="00804DEA">
      <w:pPr>
        <w:pStyle w:val="NormalWeb"/>
        <w:numPr>
          <w:ilvl w:val="0"/>
          <w:numId w:val="2"/>
        </w:numPr>
        <w:spacing w:after="120" w:line="240" w:lineRule="auto"/>
        <w:ind w:left="810" w:right="90"/>
        <w:jc w:val="both"/>
        <w:rPr>
          <w:sz w:val="20"/>
          <w:szCs w:val="20"/>
        </w:rPr>
      </w:pPr>
      <w:r w:rsidRPr="00FB587B">
        <w:rPr>
          <w:color w:val="000000"/>
          <w:sz w:val="20"/>
          <w:szCs w:val="20"/>
        </w:rPr>
        <w:t xml:space="preserve">  Tarifas por el servicio público de larga distancia internacional para conferencias telefónicas facturadas en México, medidas por duración, según destino, clase de llamada, hora del día y día de la semana, para suscriptores residenciales y comerciales, en lo sucesivo: larga distancia internacional.”</w:t>
      </w:r>
    </w:p>
  </w:footnote>
  <w:footnote w:id="2">
    <w:p w14:paraId="221E142B" w14:textId="2C97E2F7" w:rsidR="00816246" w:rsidRPr="004A70F5" w:rsidRDefault="00816246" w:rsidP="00816246">
      <w:pPr>
        <w:pStyle w:val="Textonotapie"/>
        <w:spacing w:after="120"/>
        <w:jc w:val="both"/>
        <w:rPr>
          <w:rFonts w:ascii="Times New Roman" w:hAnsi="Times New Roman" w:cs="Times New Roman"/>
        </w:rPr>
      </w:pPr>
      <w:r w:rsidRPr="00FB587B">
        <w:rPr>
          <w:rStyle w:val="Refdenotaalpie"/>
          <w:rFonts w:ascii="Times New Roman" w:hAnsi="Times New Roman" w:cs="Times New Roman"/>
        </w:rPr>
        <w:footnoteRef/>
      </w:r>
      <w:r w:rsidRPr="00FB587B">
        <w:rPr>
          <w:rFonts w:ascii="Times New Roman" w:hAnsi="Times New Roman" w:cs="Times New Roman"/>
          <w:lang w:val="en-US"/>
        </w:rPr>
        <w:t xml:space="preserve"> </w:t>
      </w:r>
      <w:proofErr w:type="spellStart"/>
      <w:r w:rsidRPr="00FB587B">
        <w:rPr>
          <w:rFonts w:ascii="Times New Roman" w:eastAsia="Times New Roman" w:hAnsi="Times New Roman" w:cs="Times New Roman"/>
          <w:lang w:val="en-US"/>
        </w:rPr>
        <w:t>Pindyck</w:t>
      </w:r>
      <w:proofErr w:type="spellEnd"/>
      <w:r w:rsidRPr="00FB587B">
        <w:rPr>
          <w:rFonts w:ascii="Times New Roman" w:eastAsia="Times New Roman" w:hAnsi="Times New Roman" w:cs="Times New Roman"/>
          <w:lang w:val="en-US"/>
        </w:rPr>
        <w:t xml:space="preserve">, Robert S.: </w:t>
      </w:r>
      <w:r w:rsidRPr="004A70F5">
        <w:rPr>
          <w:rFonts w:ascii="Times New Roman" w:eastAsia="Times New Roman" w:hAnsi="Times New Roman" w:cs="Times New Roman"/>
          <w:iCs/>
          <w:lang w:val="en-US"/>
        </w:rPr>
        <w:t>“Mandatory Unbundling and Irreversible Investment in Telecom Networks”.</w:t>
      </w:r>
      <w:r w:rsidRPr="004A70F5">
        <w:rPr>
          <w:rFonts w:ascii="Times New Roman" w:eastAsia="Times New Roman" w:hAnsi="Times New Roman" w:cs="Times New Roman"/>
          <w:lang w:val="en-US"/>
        </w:rPr>
        <w:t xml:space="preserve"> NBER</w:t>
      </w:r>
      <w:r w:rsidRPr="00FB587B">
        <w:rPr>
          <w:rFonts w:ascii="Times New Roman" w:eastAsia="Times New Roman" w:hAnsi="Times New Roman" w:cs="Times New Roman"/>
          <w:lang w:val="en-US"/>
        </w:rPr>
        <w:t xml:space="preserve"> Working Paper No. 10287, </w:t>
      </w:r>
      <w:proofErr w:type="spellStart"/>
      <w:r w:rsidR="004A70F5">
        <w:rPr>
          <w:rFonts w:ascii="Times New Roman" w:eastAsia="Times New Roman" w:hAnsi="Times New Roman" w:cs="Times New Roman"/>
          <w:lang w:val="en-US"/>
        </w:rPr>
        <w:t>enero</w:t>
      </w:r>
      <w:proofErr w:type="spellEnd"/>
      <w:r w:rsidR="004A70F5">
        <w:rPr>
          <w:rFonts w:ascii="Times New Roman" w:eastAsia="Times New Roman" w:hAnsi="Times New Roman" w:cs="Times New Roman"/>
          <w:lang w:val="en-US"/>
        </w:rPr>
        <w:t xml:space="preserve"> de</w:t>
      </w:r>
      <w:r w:rsidRPr="00FB587B">
        <w:rPr>
          <w:rFonts w:ascii="Times New Roman" w:eastAsia="Times New Roman" w:hAnsi="Times New Roman" w:cs="Times New Roman"/>
          <w:lang w:val="en-US"/>
        </w:rPr>
        <w:t xml:space="preserve"> 2004; y, Robert S. </w:t>
      </w:r>
      <w:proofErr w:type="spellStart"/>
      <w:r w:rsidRPr="00FB587B">
        <w:rPr>
          <w:rFonts w:ascii="Times New Roman" w:eastAsia="Times New Roman" w:hAnsi="Times New Roman" w:cs="Times New Roman"/>
          <w:lang w:val="en-US"/>
        </w:rPr>
        <w:t>Pindyck</w:t>
      </w:r>
      <w:proofErr w:type="spellEnd"/>
      <w:r w:rsidRPr="00FB587B">
        <w:rPr>
          <w:rFonts w:ascii="Times New Roman" w:eastAsia="Times New Roman" w:hAnsi="Times New Roman" w:cs="Times New Roman"/>
          <w:lang w:val="en-US"/>
        </w:rPr>
        <w:t xml:space="preserve">: </w:t>
      </w:r>
      <w:r w:rsidRPr="004A70F5">
        <w:rPr>
          <w:rFonts w:ascii="Times New Roman" w:eastAsia="Times New Roman" w:hAnsi="Times New Roman" w:cs="Times New Roman"/>
          <w:iCs/>
          <w:lang w:val="en-US"/>
        </w:rPr>
        <w:t>“Pricing Capital under Mandatory Unbundling and Facilities Sharing</w:t>
      </w:r>
      <w:r w:rsidRPr="004A70F5">
        <w:rPr>
          <w:rFonts w:ascii="Times New Roman" w:eastAsia="Times New Roman" w:hAnsi="Times New Roman" w:cs="Times New Roman"/>
          <w:lang w:val="en-US"/>
        </w:rPr>
        <w:t xml:space="preserve">”. </w:t>
      </w:r>
      <w:proofErr w:type="gramStart"/>
      <w:r w:rsidRPr="004A70F5">
        <w:rPr>
          <w:rFonts w:ascii="Times New Roman" w:eastAsia="Times New Roman" w:hAnsi="Times New Roman" w:cs="Times New Roman"/>
          <w:lang w:val="en-US"/>
        </w:rPr>
        <w:t>NBER W</w:t>
      </w:r>
      <w:r w:rsidRPr="00FB587B">
        <w:rPr>
          <w:rFonts w:ascii="Times New Roman" w:eastAsia="Times New Roman" w:hAnsi="Times New Roman" w:cs="Times New Roman"/>
          <w:lang w:val="en-US"/>
        </w:rPr>
        <w:t>orking Paper 11225.</w:t>
      </w:r>
      <w:proofErr w:type="gramEnd"/>
      <w:r w:rsidRPr="00FB587B">
        <w:rPr>
          <w:rFonts w:ascii="Times New Roman" w:eastAsia="Times New Roman" w:hAnsi="Times New Roman" w:cs="Times New Roman"/>
          <w:lang w:val="en-US"/>
        </w:rPr>
        <w:t xml:space="preserve"> </w:t>
      </w:r>
      <w:r w:rsidRPr="004A70F5">
        <w:rPr>
          <w:rFonts w:ascii="Times New Roman" w:eastAsia="Times New Roman" w:hAnsi="Times New Roman" w:cs="Times New Roman"/>
        </w:rPr>
        <w:t>2005 (disponible en</w:t>
      </w:r>
      <w:r w:rsidR="004A70F5" w:rsidRPr="004A70F5">
        <w:rPr>
          <w:rFonts w:ascii="Times New Roman" w:eastAsia="Times New Roman" w:hAnsi="Times New Roman" w:cs="Times New Roman"/>
        </w:rPr>
        <w:t>:</w:t>
      </w:r>
      <w:r w:rsidRPr="004A70F5">
        <w:rPr>
          <w:rFonts w:ascii="Times New Roman" w:eastAsia="Times New Roman" w:hAnsi="Times New Roman" w:cs="Times New Roman"/>
        </w:rPr>
        <w:t xml:space="preserve"> </w:t>
      </w:r>
      <w:hyperlink r:id="rId1" w:history="1">
        <w:r w:rsidRPr="004A70F5">
          <w:rPr>
            <w:rFonts w:ascii="Times New Roman" w:eastAsia="Times New Roman" w:hAnsi="Times New Roman" w:cs="Times New Roman"/>
            <w:color w:val="0000FF"/>
            <w:u w:val="single"/>
          </w:rPr>
          <w:t>http://www.nber.org/papers/</w:t>
        </w:r>
      </w:hyperlink>
      <w:r w:rsidRPr="004A70F5">
        <w:rPr>
          <w:rFonts w:ascii="Times New Roman" w:eastAsia="Times New Roman" w:hAnsi="Times New Roman" w:cs="Times New Roman"/>
        </w:rPr>
        <w:t xml:space="preserve"> w11225).</w:t>
      </w:r>
    </w:p>
  </w:footnote>
  <w:footnote w:id="3">
    <w:p w14:paraId="68F1B945" w14:textId="2A8E074A" w:rsidR="00816246" w:rsidRPr="00FB587B" w:rsidRDefault="00816246" w:rsidP="00816246">
      <w:pPr>
        <w:autoSpaceDE w:val="0"/>
        <w:autoSpaceDN w:val="0"/>
        <w:adjustRightInd w:val="0"/>
        <w:spacing w:after="120" w:line="240" w:lineRule="auto"/>
        <w:jc w:val="both"/>
        <w:rPr>
          <w:rFonts w:ascii="Times New Roman" w:hAnsi="Times New Roman" w:cs="Times New Roman"/>
          <w:sz w:val="20"/>
          <w:szCs w:val="20"/>
        </w:rPr>
      </w:pPr>
      <w:r w:rsidRPr="00FB587B">
        <w:rPr>
          <w:rStyle w:val="Refdenotaalpie"/>
          <w:rFonts w:ascii="Times New Roman" w:hAnsi="Times New Roman" w:cs="Times New Roman"/>
          <w:sz w:val="20"/>
          <w:szCs w:val="20"/>
        </w:rPr>
        <w:footnoteRef/>
      </w:r>
      <w:r w:rsidRPr="00FB587B">
        <w:rPr>
          <w:rFonts w:ascii="Times New Roman" w:hAnsi="Times New Roman" w:cs="Times New Roman"/>
          <w:sz w:val="20"/>
          <w:szCs w:val="20"/>
        </w:rPr>
        <w:t xml:space="preserve"> Para calcul</w:t>
      </w:r>
      <w:r w:rsidR="004A70F5">
        <w:rPr>
          <w:rFonts w:ascii="Times New Roman" w:hAnsi="Times New Roman" w:cs="Times New Roman"/>
          <w:sz w:val="20"/>
          <w:szCs w:val="20"/>
        </w:rPr>
        <w:t>ar la magnitud de este ajuste al</w:t>
      </w:r>
      <w:r w:rsidRPr="00FB587B">
        <w:rPr>
          <w:rFonts w:ascii="Times New Roman" w:hAnsi="Times New Roman" w:cs="Times New Roman"/>
          <w:sz w:val="20"/>
          <w:szCs w:val="20"/>
        </w:rPr>
        <w:t xml:space="preserve"> costo de capital utilizado por </w:t>
      </w:r>
      <w:r w:rsidR="004A70F5">
        <w:rPr>
          <w:rFonts w:ascii="Times New Roman" w:hAnsi="Times New Roman" w:cs="Times New Roman"/>
          <w:sz w:val="20"/>
          <w:szCs w:val="20"/>
        </w:rPr>
        <w:t>la Cofetel</w:t>
      </w:r>
      <w:r w:rsidRPr="00FB587B">
        <w:rPr>
          <w:rFonts w:ascii="Times New Roman" w:hAnsi="Times New Roman" w:cs="Times New Roman"/>
          <w:sz w:val="20"/>
          <w:szCs w:val="20"/>
        </w:rPr>
        <w:t xml:space="preserve"> en nuestro país, se podría calibrar el modelo de </w:t>
      </w:r>
      <w:r w:rsidRPr="00FB587B">
        <w:rPr>
          <w:rFonts w:ascii="Times New Roman" w:hAnsi="Times New Roman" w:cs="Times New Roman"/>
          <w:sz w:val="20"/>
          <w:szCs w:val="20"/>
        </w:rPr>
        <w:t>Pindyck utilizando datos sobre los acervos de capital, tarifas, inversiones y otras variables de los concesionarios de telecomunicaciones locales en México. Por ejemplo, Pindyck, utilizando datos de Estados Unidos</w:t>
      </w:r>
      <w:r w:rsidR="004A70F5">
        <w:rPr>
          <w:rFonts w:ascii="Times New Roman" w:hAnsi="Times New Roman" w:cs="Times New Roman"/>
          <w:sz w:val="20"/>
          <w:szCs w:val="20"/>
        </w:rPr>
        <w:t>,</w:t>
      </w:r>
      <w:r w:rsidRPr="00FB587B">
        <w:rPr>
          <w:rFonts w:ascii="Times New Roman" w:hAnsi="Times New Roman" w:cs="Times New Roman"/>
          <w:sz w:val="20"/>
          <w:szCs w:val="20"/>
        </w:rPr>
        <w:t xml:space="preserve"> estima que el tamaño del ajuste al costo de capital necesario para corregir el CITPLP es de 4.5 puntos porcentuales. Con base en esto, el costo de capital de un concesionario establecido de telefonía local, normalmente situ</w:t>
      </w:r>
      <w:r w:rsidR="004A70F5">
        <w:rPr>
          <w:rFonts w:ascii="Times New Roman" w:hAnsi="Times New Roman" w:cs="Times New Roman"/>
          <w:sz w:val="20"/>
          <w:szCs w:val="20"/>
        </w:rPr>
        <w:t>ado alrededor de un nivel de 13 por ciento</w:t>
      </w:r>
      <w:r w:rsidRPr="00FB587B">
        <w:rPr>
          <w:rFonts w:ascii="Times New Roman" w:hAnsi="Times New Roman" w:cs="Times New Roman"/>
          <w:sz w:val="20"/>
          <w:szCs w:val="20"/>
        </w:rPr>
        <w:t>, tend</w:t>
      </w:r>
      <w:r w:rsidR="004A70F5">
        <w:rPr>
          <w:rFonts w:ascii="Times New Roman" w:hAnsi="Times New Roman" w:cs="Times New Roman"/>
          <w:sz w:val="20"/>
          <w:szCs w:val="20"/>
        </w:rPr>
        <w:t>ría que ser incrementado a 17.5 por ciento cuando é</w:t>
      </w:r>
      <w:r w:rsidRPr="00FB587B">
        <w:rPr>
          <w:rFonts w:ascii="Times New Roman" w:hAnsi="Times New Roman" w:cs="Times New Roman"/>
          <w:sz w:val="20"/>
          <w:szCs w:val="20"/>
        </w:rPr>
        <w:t>ste sea utilizado como insumo para determinar el CITPLP de los elementos desagregados de red.</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C12618"/>
    <w:multiLevelType w:val="hybridMultilevel"/>
    <w:tmpl w:val="001A236A"/>
    <w:lvl w:ilvl="0" w:tplc="080A000F">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74D788C"/>
    <w:multiLevelType w:val="hybridMultilevel"/>
    <w:tmpl w:val="8822E5CA"/>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9E441CF"/>
    <w:multiLevelType w:val="hybridMultilevel"/>
    <w:tmpl w:val="B50283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3101F43"/>
    <w:multiLevelType w:val="hybridMultilevel"/>
    <w:tmpl w:val="5CC42772"/>
    <w:lvl w:ilvl="0" w:tplc="96AA864A">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nsid w:val="65053AAE"/>
    <w:multiLevelType w:val="hybridMultilevel"/>
    <w:tmpl w:val="AD6EDC1A"/>
    <w:lvl w:ilvl="0" w:tplc="7996D07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6FBF3EC8"/>
    <w:multiLevelType w:val="multilevel"/>
    <w:tmpl w:val="9E9A2C0C"/>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6">
    <w:nsid w:val="71760E2A"/>
    <w:multiLevelType w:val="hybridMultilevel"/>
    <w:tmpl w:val="340888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4"/>
  </w:num>
  <w:num w:numId="5">
    <w:abstractNumId w:val="0"/>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7EC"/>
    <w:rsid w:val="00000979"/>
    <w:rsid w:val="0008017E"/>
    <w:rsid w:val="00086AF2"/>
    <w:rsid w:val="000F7279"/>
    <w:rsid w:val="00140163"/>
    <w:rsid w:val="00146C48"/>
    <w:rsid w:val="001942C3"/>
    <w:rsid w:val="002E11BB"/>
    <w:rsid w:val="003028DA"/>
    <w:rsid w:val="003676A0"/>
    <w:rsid w:val="004067EC"/>
    <w:rsid w:val="004A70F5"/>
    <w:rsid w:val="004E1F2D"/>
    <w:rsid w:val="004E3788"/>
    <w:rsid w:val="006068DE"/>
    <w:rsid w:val="00627934"/>
    <w:rsid w:val="00784B69"/>
    <w:rsid w:val="007A7620"/>
    <w:rsid w:val="00804DEA"/>
    <w:rsid w:val="00816246"/>
    <w:rsid w:val="008B6CD5"/>
    <w:rsid w:val="008E2517"/>
    <w:rsid w:val="00993643"/>
    <w:rsid w:val="00A870C5"/>
    <w:rsid w:val="00AA2859"/>
    <w:rsid w:val="00B13F01"/>
    <w:rsid w:val="00D7038F"/>
    <w:rsid w:val="00DD5D58"/>
    <w:rsid w:val="00F12372"/>
    <w:rsid w:val="00FB587B"/>
    <w:rsid w:val="00FF317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48C2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E1F2D"/>
    <w:pPr>
      <w:ind w:left="720"/>
      <w:contextualSpacing/>
    </w:pPr>
  </w:style>
  <w:style w:type="paragraph" w:styleId="Textonotapie">
    <w:name w:val="footnote text"/>
    <w:basedOn w:val="Normal"/>
    <w:link w:val="TextonotapieCar"/>
    <w:uiPriority w:val="99"/>
    <w:semiHidden/>
    <w:unhideWhenUsed/>
    <w:rsid w:val="0081624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816246"/>
    <w:rPr>
      <w:sz w:val="20"/>
      <w:szCs w:val="20"/>
    </w:rPr>
  </w:style>
  <w:style w:type="character" w:styleId="Refdenotaalpie">
    <w:name w:val="footnote reference"/>
    <w:aliases w:val="fr,o,FR,(NECG) Footnote Reference"/>
    <w:basedOn w:val="Fuentedeprrafopredeter"/>
    <w:semiHidden/>
    <w:rsid w:val="00816246"/>
    <w:rPr>
      <w:vertAlign w:val="superscript"/>
    </w:rPr>
  </w:style>
  <w:style w:type="paragraph" w:styleId="NormalWeb">
    <w:name w:val="Normal (Web)"/>
    <w:basedOn w:val="Normal"/>
    <w:uiPriority w:val="99"/>
    <w:semiHidden/>
    <w:unhideWhenUsed/>
    <w:rsid w:val="00804DEA"/>
    <w:rPr>
      <w:rFonts w:ascii="Times New Roman" w:hAnsi="Times New Roman" w:cs="Times New Roman"/>
      <w:sz w:val="24"/>
      <w:szCs w:val="24"/>
    </w:rPr>
  </w:style>
  <w:style w:type="paragraph" w:styleId="Encabezado">
    <w:name w:val="header"/>
    <w:basedOn w:val="Normal"/>
    <w:link w:val="EncabezadoCar"/>
    <w:uiPriority w:val="99"/>
    <w:unhideWhenUsed/>
    <w:rsid w:val="001942C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942C3"/>
  </w:style>
  <w:style w:type="paragraph" w:styleId="Piedepgina">
    <w:name w:val="footer"/>
    <w:basedOn w:val="Normal"/>
    <w:link w:val="PiedepginaCar"/>
    <w:uiPriority w:val="99"/>
    <w:unhideWhenUsed/>
    <w:rsid w:val="001942C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942C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E1F2D"/>
    <w:pPr>
      <w:ind w:left="720"/>
      <w:contextualSpacing/>
    </w:pPr>
  </w:style>
  <w:style w:type="paragraph" w:styleId="Textonotapie">
    <w:name w:val="footnote text"/>
    <w:basedOn w:val="Normal"/>
    <w:link w:val="TextonotapieCar"/>
    <w:uiPriority w:val="99"/>
    <w:semiHidden/>
    <w:unhideWhenUsed/>
    <w:rsid w:val="0081624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816246"/>
    <w:rPr>
      <w:sz w:val="20"/>
      <w:szCs w:val="20"/>
    </w:rPr>
  </w:style>
  <w:style w:type="character" w:styleId="Refdenotaalpie">
    <w:name w:val="footnote reference"/>
    <w:aliases w:val="fr,o,FR,(NECG) Footnote Reference"/>
    <w:basedOn w:val="Fuentedeprrafopredeter"/>
    <w:semiHidden/>
    <w:rsid w:val="00816246"/>
    <w:rPr>
      <w:vertAlign w:val="superscript"/>
    </w:rPr>
  </w:style>
  <w:style w:type="paragraph" w:styleId="NormalWeb">
    <w:name w:val="Normal (Web)"/>
    <w:basedOn w:val="Normal"/>
    <w:uiPriority w:val="99"/>
    <w:semiHidden/>
    <w:unhideWhenUsed/>
    <w:rsid w:val="00804DEA"/>
    <w:rPr>
      <w:rFonts w:ascii="Times New Roman" w:hAnsi="Times New Roman" w:cs="Times New Roman"/>
      <w:sz w:val="24"/>
      <w:szCs w:val="24"/>
    </w:rPr>
  </w:style>
  <w:style w:type="paragraph" w:styleId="Encabezado">
    <w:name w:val="header"/>
    <w:basedOn w:val="Normal"/>
    <w:link w:val="EncabezadoCar"/>
    <w:uiPriority w:val="99"/>
    <w:unhideWhenUsed/>
    <w:rsid w:val="001942C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942C3"/>
  </w:style>
  <w:style w:type="paragraph" w:styleId="Piedepgina">
    <w:name w:val="footer"/>
    <w:basedOn w:val="Normal"/>
    <w:link w:val="PiedepginaCar"/>
    <w:uiPriority w:val="99"/>
    <w:unhideWhenUsed/>
    <w:rsid w:val="001942C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942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ww.nber.org/paper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1715</Words>
  <Characters>9434</Characters>
  <Application>Microsoft Macintosh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Butler</dc:creator>
  <cp:lastModifiedBy>Octavio Islas</cp:lastModifiedBy>
  <cp:revision>2</cp:revision>
  <dcterms:created xsi:type="dcterms:W3CDTF">2011-02-09T23:08:00Z</dcterms:created>
  <dcterms:modified xsi:type="dcterms:W3CDTF">2011-02-09T23:08:00Z</dcterms:modified>
</cp:coreProperties>
</file>